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Bdr>
          <w:bottom w:val="single" w:sz="24" w:space="4" w:color="0074FE"/>
        </w:pBdr>
      </w:pPr>
      <w:r>
        <w:rPr>
          <w:rFonts w:ascii="Arial" w:hAnsi="Arial"/>
          <w:b/>
          <w:color w:val="0074FE"/>
          <w:sz w:val="52"/>
        </w:rPr>
        <w:t>TRENDSCALE BRIEF</w:t>
      </w:r>
    </w:p>
    <w:p>
      <w:pPr>
        <w:spacing w:before="160" w:after="240"/>
      </w:pPr>
      <w:r/>
      <w:r>
        <w:rPr>
          <w:rFonts w:ascii="Arial" w:hAnsi="Arial"/>
          <w:sz w:val="20"/>
        </w:rPr>
        <w:t>Client-facing production brief for founder review and production handoff.</w:t>
      </w:r>
    </w:p>
    <w:p>
      <w:pPr>
        <w:spacing w:before="400" w:after="80"/>
      </w:pPr>
      <w:r>
        <w:rPr>
          <w:rFonts w:ascii="Arial" w:hAnsi="Arial"/>
          <w:b/>
          <w:color w:val="0074FE"/>
          <w:sz w:val="28"/>
        </w:rPr>
        <w:t>Strategic header</w:t>
      </w:r>
    </w:p>
    <w:p>
      <w:pPr>
        <w:spacing w:before="80" w:after="80"/>
      </w:pPr>
      <w:r/>
      <w:r>
        <w:rPr>
          <w:rFonts w:ascii="Arial" w:hAnsi="Arial"/>
          <w:sz w:val="20"/>
        </w:rPr>
        <w:t>Strategist: Farrice Cain</w:t>
      </w:r>
    </w:p>
    <w:p>
      <w:pPr>
        <w:spacing w:before="80" w:after="80"/>
      </w:pPr>
      <w:r/>
      <w:r>
        <w:rPr>
          <w:rFonts w:ascii="Arial" w:hAnsi="Arial"/>
          <w:sz w:val="20"/>
        </w:rPr>
        <w:t>Client: Puravita - Magnesium 12-in-1 Complex Capsules</w:t>
      </w:r>
    </w:p>
    <w:p>
      <w:pPr>
        <w:spacing w:before="80" w:after="80"/>
      </w:pPr>
      <w:r/>
      <w:r>
        <w:rPr>
          <w:rFonts w:ascii="Arial" w:hAnsi="Arial"/>
          <w:sz w:val="20"/>
        </w:rPr>
        <w:t>PDP: https://shoppuravita.com/products/puravita%C2%AE-magnesium-complex</w:t>
      </w:r>
    </w:p>
    <w:p>
      <w:pPr>
        <w:spacing w:before="80" w:after="80"/>
      </w:pPr>
      <w:r/>
      <w:r>
        <w:rPr>
          <w:rFonts w:ascii="Arial" w:hAnsi="Arial"/>
          <w:sz w:val="20"/>
        </w:rPr>
        <w:t>Production note: Suggested control: Hook 1. Open on normal bloodwork failing to answer the private feeling, then move into the battery metaphor, serum window, 12 active forms, and low-pressure label inspection. Product facts in the final edit should match the live PDP and label: Magnesium 12-in-1 Complex Capsules, 12 active forms, and the current serving directions.</w:t>
      </w:r>
    </w:p>
    <w:p>
      <w:pPr>
        <w:spacing w:before="80" w:after="80"/>
      </w:pPr>
      <w:r/>
      <w:r>
        <w:rPr>
          <w:rFonts w:ascii="Arial" w:hAnsi="Arial"/>
          <w:sz w:val="20"/>
        </w:rPr>
        <w:t>Concept type: Iteration</w:t>
      </w:r>
    </w:p>
    <w:p>
      <w:pPr>
        <w:spacing w:before="80" w:after="80"/>
      </w:pPr>
      <w:r/>
      <w:r>
        <w:rPr>
          <w:rFonts w:ascii="Arial" w:hAnsi="Arial"/>
          <w:sz w:val="20"/>
        </w:rPr>
        <w:t>Iterated from: The Battery You Can't See control concept.</w:t>
      </w:r>
    </w:p>
    <w:p>
      <w:pPr>
        <w:spacing w:before="80" w:after="80"/>
      </w:pPr>
      <w:r/>
      <w:r>
        <w:rPr>
          <w:rFonts w:ascii="Arial" w:hAnsi="Arial"/>
          <w:sz w:val="20"/>
        </w:rPr>
        <w:t>Avatar: Men 38 to 62, with a 45 to 55 sweet spot. He has routines, labs, and enough life pressure to distrust another generic sleep or stress ad. He is looking for an answer before he is looking for magnesium.</w:t>
      </w:r>
    </w:p>
    <w:p>
      <w:pPr>
        <w:spacing w:before="80" w:after="80"/>
      </w:pPr>
      <w:r/>
      <w:r>
        <w:rPr>
          <w:rFonts w:ascii="Arial" w:hAnsi="Arial"/>
          <w:sz w:val="20"/>
        </w:rPr>
        <w:t>Awareness level: Unaware to Problem aware</w:t>
      </w:r>
    </w:p>
    <w:p>
      <w:pPr>
        <w:spacing w:before="80" w:after="80"/>
      </w:pPr>
      <w:r/>
      <w:r>
        <w:rPr>
          <w:rFonts w:ascii="Arial" w:hAnsi="Arial"/>
          <w:sz w:val="20"/>
        </w:rPr>
        <w:t>Hypothesis: The battery concept works when the first beat names the private gap: normal bloodwork ended the conversation, but it did not answer how he feels. Then the serum-window proof gives him a reason to inspect the form list.</w:t>
      </w:r>
    </w:p>
    <w:p>
      <w:pPr>
        <w:spacing w:before="400" w:after="80"/>
      </w:pPr>
      <w:r>
        <w:rPr>
          <w:rFonts w:ascii="Arial" w:hAnsi="Arial"/>
          <w:b/>
          <w:color w:val="0074FE"/>
          <w:sz w:val="28"/>
        </w:rPr>
        <w:t>Inspiration and editing</w:t>
      </w:r>
    </w:p>
    <w:p>
      <w:pPr>
        <w:spacing w:before="80" w:after="80"/>
      </w:pPr>
      <w:r/>
      <w:r>
        <w:rPr>
          <w:rFonts w:ascii="Arial" w:hAnsi="Arial"/>
          <w:sz w:val="20"/>
        </w:rPr>
        <w:t>Concept inspo: Phone at 5 percent, normal lab panel, untouched coffee, kitchen morning, soft body-map glow, serum window card, form list, quiet product reveal.</w:t>
      </w:r>
    </w:p>
    <w:p>
      <w:pPr>
        <w:spacing w:before="80" w:after="80"/>
      </w:pPr>
      <w:r/>
      <w:r>
        <w:rPr>
          <w:rFonts w:ascii="Arial" w:hAnsi="Arial"/>
          <w:sz w:val="20"/>
        </w:rPr>
        <w:t>Cast type: HeyGen presenter with cinematic AI b-roll and real product photography.</w:t>
      </w:r>
    </w:p>
    <w:p>
      <w:pPr>
        <w:spacing w:before="80" w:after="80"/>
      </w:pPr>
      <w:r/>
      <w:r>
        <w:rPr>
          <w:rFonts w:ascii="Arial" w:hAnsi="Arial"/>
          <w:sz w:val="20"/>
        </w:rPr>
        <w:t>AI avatar look: Male, 45 to 50, understated, slight gray at temples, simple sweater or overshirt, warm kitchen light. Calm and observant.</w:t>
      </w:r>
    </w:p>
    <w:p>
      <w:pPr>
        <w:spacing w:before="80" w:after="80"/>
      </w:pPr>
      <w:r/>
      <w:r>
        <w:rPr>
          <w:rFonts w:ascii="Arial" w:hAnsi="Arial"/>
          <w:sz w:val="20"/>
        </w:rPr>
        <w:t>Pacing: Private recognition, battery turn, serum proof, form-board reveal, bottle hold.</w:t>
      </w:r>
    </w:p>
    <w:p>
      <w:pPr>
        <w:spacing w:before="80" w:after="80"/>
      </w:pPr>
      <w:r/>
      <w:r>
        <w:rPr>
          <w:rFonts w:ascii="Arial" w:hAnsi="Arial"/>
          <w:sz w:val="20"/>
        </w:rPr>
        <w:t>Main emotion: Recognition without diagnosis. The viewer should feel the ad named a gap without naming him.</w:t>
      </w:r>
    </w:p>
    <w:p>
      <w:pPr>
        <w:spacing w:before="80" w:after="80"/>
      </w:pPr>
      <w:r/>
      <w:r>
        <w:rPr>
          <w:rFonts w:ascii="Arial" w:hAnsi="Arial"/>
          <w:sz w:val="20"/>
        </w:rPr>
        <w:t>Voiceover: Quiet, restrained, and recordable as written. No added explainer copy.</w:t>
      </w:r>
    </w:p>
    <w:p>
      <w:pPr>
        <w:spacing w:before="80" w:after="80"/>
      </w:pPr>
      <w:r/>
      <w:r>
        <w:rPr>
          <w:rFonts w:ascii="Arial" w:hAnsi="Arial"/>
          <w:sz w:val="20"/>
        </w:rPr>
        <w:t>Music: Sparse piano or low ambient bed at minus 18dB. Silence under the final label line.</w:t>
      </w:r>
    </w:p>
    <w:p>
      <w:pPr>
        <w:spacing w:before="80" w:after="80"/>
      </w:pPr>
      <w:r/>
      <w:r>
        <w:rPr>
          <w:rFonts w:ascii="Arial" w:hAnsi="Arial"/>
          <w:sz w:val="20"/>
        </w:rPr>
        <w:t>Caption style: Manual burned-in captions. Six words per frame maximum. Sage for serum and form callouts.</w:t>
      </w:r>
    </w:p>
    <w:p>
      <w:pPr>
        <w:spacing w:before="80" w:after="80"/>
      </w:pPr>
      <w:r/>
      <w:r>
        <w:rPr>
          <w:rFonts w:ascii="Arial" w:hAnsi="Arial"/>
          <w:sz w:val="20"/>
        </w:rPr>
        <w:t>Overall direction: Use one hook, then continue through the body rows in order. The ad should move from private question to label inspection, with the battery metaphor doing the emotional work before the supplement category appears.</w:t>
      </w:r>
    </w:p>
    <w:p>
      <w:pPr>
        <w:spacing w:before="80" w:after="80"/>
      </w:pPr>
      <w:r/>
      <w:r>
        <w:rPr>
          <w:rFonts w:ascii="Arial" w:hAnsi="Arial"/>
          <w:sz w:val="20"/>
        </w:rPr>
        <w:t>Editing notes: Use hand-only phone b-roll and clean document-style lab visuals. Use a soft body-map glow, not literal anatomy. Avoid exhausted-person stock, doctor coats, disease language, diagnosis, urgency text, and influencer quote cards unless cleared.</w:t>
      </w:r>
    </w:p>
    <w:p>
      <w:pPr>
        <w:spacing w:before="400" w:after="80"/>
      </w:pPr>
      <w:r>
        <w:rPr>
          <w:rFonts w:ascii="Arial" w:hAnsi="Arial"/>
          <w:b/>
          <w:color w:val="0074FE"/>
          <w:sz w:val="28"/>
        </w:rPr>
        <w:t>Script</w:t>
      </w:r>
    </w:p>
    <w:p>
      <w:pPr>
        <w:spacing w:before="80" w:after="80"/>
      </w:pPr>
      <w:r/>
      <w:r>
        <w:rPr>
          <w:rFonts w:ascii="Arial" w:hAnsi="Arial"/>
          <w:sz w:val="20"/>
        </w:rPr>
        <w:t>Format: Video, 9:16, 35 to 45 seconds. Optional 4:5 static thumbstop using the phone or lab-report hook.</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fill="0074FE"/>
            <w:tcBorders>
              <w:top w:val="single" w:sz="4" w:color="CCCCCC"/>
              <w:left w:val="single" w:sz="4" w:color="CCCCCC"/>
              <w:bottom w:val="single" w:sz="4" w:color="CCCCCC"/>
              <w:right w:val="single" w:sz="4" w:color="CCCCCC"/>
            </w:tcBorders>
          </w:tcPr>
          <w:p>
            <w:r>
              <w:rPr>
                <w:b/>
                <w:color w:val="FFFFFF"/>
                <w:sz w:val="22"/>
              </w:rPr>
              <w:t>Visual / editing notes</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Section</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Script</w:t>
            </w:r>
          </w:p>
        </w:tc>
        <w:tc>
          <w:tcPr>
            <w:tcW w:type="dxa" w:w="2493"/>
            <w:shd w:val="clear" w:fill="0074FE"/>
            <w:tcBorders>
              <w:top w:val="single" w:sz="4" w:color="CCCCCC"/>
              <w:left w:val="single" w:sz="4" w:color="CCCCCC"/>
              <w:bottom w:val="single" w:sz="4" w:color="CCCCCC"/>
              <w:right w:val="single" w:sz="4" w:color="CCCCCC"/>
            </w:tcBorders>
          </w:tcPr>
          <w:p>
            <w:r>
              <w:rPr>
                <w:b/>
                <w:color w:val="FFFFFF"/>
                <w:sz w:val="22"/>
              </w:rPr>
              <w:t>On-screen text</w:t>
            </w:r>
          </w:p>
        </w:tc>
      </w:tr>
      <w:tr>
        <w:tc>
          <w:tcPr>
            <w:tcW w:type="dxa" w:w="2493"/>
          </w:tcPr>
          <w:p>
            <w:pPr>
              <w:jc w:val="left"/>
            </w:pPr>
            <w:r/>
            <w:r>
              <w:rPr>
                <w:rFonts w:ascii="Arial" w:hAnsi="Arial"/>
                <w:sz w:val="18"/>
              </w:rPr>
              <w:t>Lab panel slides in. The word normal lands, then morning kitchen silence.</w:t>
            </w:r>
          </w:p>
        </w:tc>
        <w:tc>
          <w:tcPr>
            <w:tcW w:type="dxa" w:w="2493"/>
          </w:tcPr>
          <w:p>
            <w:pPr>
              <w:jc w:val="left"/>
            </w:pPr>
            <w:r/>
            <w:r>
              <w:rPr>
                <w:rFonts w:ascii="Arial" w:hAnsi="Arial"/>
                <w:sz w:val="18"/>
              </w:rPr>
              <w:t>Hook 1</w:t>
            </w:r>
          </w:p>
        </w:tc>
        <w:tc>
          <w:tcPr>
            <w:tcW w:type="dxa" w:w="2493"/>
          </w:tcPr>
          <w:p>
            <w:pPr>
              <w:jc w:val="left"/>
            </w:pPr>
            <w:r/>
            <w:r>
              <w:rPr>
                <w:rFonts w:ascii="Arial" w:hAnsi="Arial"/>
                <w:sz w:val="18"/>
              </w:rPr>
              <w:t>The report said normal. The morning did not feel normal.</w:t>
            </w:r>
          </w:p>
        </w:tc>
        <w:tc>
          <w:tcPr>
            <w:tcW w:type="dxa" w:w="2493"/>
          </w:tcPr>
          <w:p>
            <w:pPr>
              <w:jc w:val="left"/>
            </w:pPr>
            <w:r/>
            <w:r>
              <w:rPr>
                <w:rFonts w:ascii="Arial" w:hAnsi="Arial"/>
                <w:sz w:val="18"/>
              </w:rPr>
              <w:t>NORMAL, STILL OFF</w:t>
            </w:r>
          </w:p>
        </w:tc>
      </w:tr>
      <w:tr>
        <w:tc>
          <w:tcPr>
            <w:tcW w:type="dxa" w:w="2493"/>
          </w:tcPr>
          <w:p>
            <w:pPr>
              <w:jc w:val="left"/>
            </w:pPr>
            <w:r/>
            <w:r>
              <w:rPr>
                <w:rFonts w:ascii="Arial" w:hAnsi="Arial"/>
                <w:sz w:val="18"/>
              </w:rPr>
              <w:t>Phone at 5 percent on a nightstand. Hand reaches in, no face.</w:t>
            </w:r>
          </w:p>
        </w:tc>
        <w:tc>
          <w:tcPr>
            <w:tcW w:type="dxa" w:w="2493"/>
          </w:tcPr>
          <w:p>
            <w:pPr>
              <w:jc w:val="left"/>
            </w:pPr>
            <w:r/>
            <w:r>
              <w:rPr>
                <w:rFonts w:ascii="Arial" w:hAnsi="Arial"/>
                <w:sz w:val="18"/>
              </w:rPr>
              <w:t>Hook 2</w:t>
            </w:r>
          </w:p>
        </w:tc>
        <w:tc>
          <w:tcPr>
            <w:tcW w:type="dxa" w:w="2493"/>
          </w:tcPr>
          <w:p>
            <w:pPr>
              <w:jc w:val="left"/>
            </w:pPr>
            <w:r/>
            <w:r>
              <w:rPr>
                <w:rFonts w:ascii="Arial" w:hAnsi="Arial"/>
                <w:sz w:val="18"/>
              </w:rPr>
              <w:t>His phone warns him at 5 percent. His body lets him explain it away.</w:t>
            </w:r>
          </w:p>
        </w:tc>
        <w:tc>
          <w:tcPr>
            <w:tcW w:type="dxa" w:w="2493"/>
          </w:tcPr>
          <w:p>
            <w:pPr>
              <w:jc w:val="left"/>
            </w:pPr>
            <w:r/>
            <w:r>
              <w:rPr>
                <w:rFonts w:ascii="Arial" w:hAnsi="Arial"/>
                <w:sz w:val="18"/>
              </w:rPr>
              <w:t>NO BATTERY ICON</w:t>
            </w:r>
          </w:p>
        </w:tc>
      </w:tr>
      <w:tr>
        <w:tc>
          <w:tcPr>
            <w:tcW w:type="dxa" w:w="2493"/>
          </w:tcPr>
          <w:p>
            <w:pPr>
              <w:jc w:val="left"/>
            </w:pPr>
            <w:r/>
            <w:r>
              <w:rPr>
                <w:rFonts w:ascii="Arial" w:hAnsi="Arial"/>
                <w:sz w:val="18"/>
              </w:rPr>
              <w:t>Search bar types, deletes, then lands on the real question.</w:t>
            </w:r>
          </w:p>
        </w:tc>
        <w:tc>
          <w:tcPr>
            <w:tcW w:type="dxa" w:w="2493"/>
          </w:tcPr>
          <w:p>
            <w:pPr>
              <w:jc w:val="left"/>
            </w:pPr>
            <w:r/>
            <w:r>
              <w:rPr>
                <w:rFonts w:ascii="Arial" w:hAnsi="Arial"/>
                <w:sz w:val="18"/>
              </w:rPr>
              <w:t>Hook 3</w:t>
            </w:r>
          </w:p>
        </w:tc>
        <w:tc>
          <w:tcPr>
            <w:tcW w:type="dxa" w:w="2493"/>
          </w:tcPr>
          <w:p>
            <w:pPr>
              <w:jc w:val="left"/>
            </w:pPr>
            <w:r/>
            <w:r>
              <w:rPr>
                <w:rFonts w:ascii="Arial" w:hAnsi="Arial"/>
                <w:sz w:val="18"/>
              </w:rPr>
              <w:t>He searches why he still feels off before he ever thinks magnesium.</w:t>
            </w:r>
          </w:p>
        </w:tc>
        <w:tc>
          <w:tcPr>
            <w:tcW w:type="dxa" w:w="2493"/>
          </w:tcPr>
          <w:p>
            <w:pPr>
              <w:jc w:val="left"/>
            </w:pPr>
            <w:r/>
            <w:r>
              <w:rPr>
                <w:rFonts w:ascii="Arial" w:hAnsi="Arial"/>
                <w:sz w:val="18"/>
              </w:rPr>
              <w:t>SEARCHING FOR AN ANSWER</w:t>
            </w:r>
          </w:p>
        </w:tc>
      </w:tr>
      <w:tr>
        <w:tc>
          <w:tcPr>
            <w:tcW w:type="dxa" w:w="2493"/>
          </w:tcPr>
          <w:p>
            <w:pPr>
              <w:jc w:val="left"/>
            </w:pPr>
            <w:r/>
            <w:r>
              <w:rPr>
                <w:rFonts w:ascii="Arial" w:hAnsi="Arial"/>
                <w:sz w:val="18"/>
              </w:rPr>
              <w:t>Coffee on counter. Gym shoes by the door. Hand rests on shoulder.</w:t>
            </w:r>
          </w:p>
        </w:tc>
        <w:tc>
          <w:tcPr>
            <w:tcW w:type="dxa" w:w="2493"/>
          </w:tcPr>
          <w:p>
            <w:pPr>
              <w:jc w:val="left"/>
            </w:pPr>
            <w:r/>
            <w:r>
              <w:rPr>
                <w:rFonts w:ascii="Arial" w:hAnsi="Arial"/>
                <w:sz w:val="18"/>
              </w:rPr>
              <w:t>Avatar wound</w:t>
            </w:r>
          </w:p>
        </w:tc>
        <w:tc>
          <w:tcPr>
            <w:tcW w:type="dxa" w:w="2493"/>
          </w:tcPr>
          <w:p>
            <w:pPr>
              <w:jc w:val="left"/>
            </w:pPr>
            <w:r/>
            <w:r>
              <w:rPr>
                <w:rFonts w:ascii="Arial" w:hAnsi="Arial"/>
                <w:sz w:val="18"/>
              </w:rPr>
              <w:t>He slept. He trained. He cut the usual suspects. His wife still asked, are you okay?</w:t>
            </w:r>
          </w:p>
        </w:tc>
        <w:tc>
          <w:tcPr>
            <w:tcW w:type="dxa" w:w="2493"/>
          </w:tcPr>
          <w:p>
            <w:pPr>
              <w:jc w:val="left"/>
            </w:pPr>
            <w:r/>
            <w:r>
              <w:rPr>
                <w:rFonts w:ascii="Arial" w:hAnsi="Arial"/>
                <w:sz w:val="18"/>
              </w:rPr>
              <w:t>STILL NO ANSWER</w:t>
            </w:r>
          </w:p>
        </w:tc>
      </w:tr>
      <w:tr>
        <w:tc>
          <w:tcPr>
            <w:tcW w:type="dxa" w:w="2493"/>
          </w:tcPr>
          <w:p>
            <w:pPr>
              <w:jc w:val="left"/>
            </w:pPr>
            <w:r/>
            <w:r>
              <w:rPr>
                <w:rFonts w:ascii="Arial" w:hAnsi="Arial"/>
                <w:sz w:val="18"/>
              </w:rPr>
              <w:t>Phone battery icon fades into a soft body-map glow.</w:t>
            </w:r>
          </w:p>
        </w:tc>
        <w:tc>
          <w:tcPr>
            <w:tcW w:type="dxa" w:w="2493"/>
          </w:tcPr>
          <w:p>
            <w:pPr>
              <w:jc w:val="left"/>
            </w:pPr>
            <w:r/>
            <w:r>
              <w:rPr>
                <w:rFonts w:ascii="Arial" w:hAnsi="Arial"/>
                <w:sz w:val="18"/>
              </w:rPr>
              <w:t>Battery turn</w:t>
            </w:r>
          </w:p>
        </w:tc>
        <w:tc>
          <w:tcPr>
            <w:tcW w:type="dxa" w:w="2493"/>
          </w:tcPr>
          <w:p>
            <w:pPr>
              <w:jc w:val="left"/>
            </w:pPr>
            <w:r/>
            <w:r>
              <w:rPr>
                <w:rFonts w:ascii="Arial" w:hAnsi="Arial"/>
                <w:sz w:val="18"/>
              </w:rPr>
              <w:t>No warning light. Just clues he keeps explaining away.</w:t>
            </w:r>
          </w:p>
        </w:tc>
        <w:tc>
          <w:tcPr>
            <w:tcW w:type="dxa" w:w="2493"/>
          </w:tcPr>
          <w:p>
            <w:pPr>
              <w:jc w:val="left"/>
            </w:pPr>
            <w:r/>
            <w:r>
              <w:rPr>
                <w:rFonts w:ascii="Arial" w:hAnsi="Arial"/>
                <w:sz w:val="18"/>
              </w:rPr>
              <w:t>NO WARNING LIGHT</w:t>
            </w:r>
          </w:p>
        </w:tc>
      </w:tr>
      <w:tr>
        <w:tc>
          <w:tcPr>
            <w:tcW w:type="dxa" w:w="2493"/>
          </w:tcPr>
          <w:p>
            <w:pPr>
              <w:jc w:val="left"/>
            </w:pPr>
            <w:r/>
            <w:r>
              <w:rPr>
                <w:rFonts w:ascii="Arial" w:hAnsi="Arial"/>
                <w:sz w:val="18"/>
              </w:rPr>
              <w:t>Serum window card: small bright line in blood, larger glow outside it.</w:t>
            </w:r>
          </w:p>
        </w:tc>
        <w:tc>
          <w:tcPr>
            <w:tcW w:type="dxa" w:w="2493"/>
          </w:tcPr>
          <w:p>
            <w:pPr>
              <w:jc w:val="left"/>
            </w:pPr>
            <w:r/>
            <w:r>
              <w:rPr>
                <w:rFonts w:ascii="Arial" w:hAnsi="Arial"/>
                <w:sz w:val="18"/>
              </w:rPr>
              <w:t>Serum proof</w:t>
            </w:r>
          </w:p>
        </w:tc>
        <w:tc>
          <w:tcPr>
            <w:tcW w:type="dxa" w:w="2493"/>
          </w:tcPr>
          <w:p>
            <w:pPr>
              <w:jc w:val="left"/>
            </w:pPr>
            <w:r/>
            <w:r>
              <w:rPr>
                <w:rFonts w:ascii="Arial" w:hAnsi="Arial"/>
                <w:sz w:val="18"/>
              </w:rPr>
              <w:t>Serum shows less than 1 percent of total magnesium. Normal can be a narrow window.</w:t>
            </w:r>
          </w:p>
        </w:tc>
        <w:tc>
          <w:tcPr>
            <w:tcW w:type="dxa" w:w="2493"/>
          </w:tcPr>
          <w:p>
            <w:pPr>
              <w:jc w:val="left"/>
            </w:pPr>
            <w:r/>
            <w:r>
              <w:rPr>
                <w:rFonts w:ascii="Arial" w:hAnsi="Arial"/>
                <w:sz w:val="18"/>
              </w:rPr>
              <w:t>NORMAL CAN BE NARROW</w:t>
            </w:r>
          </w:p>
        </w:tc>
      </w:tr>
      <w:tr>
        <w:tc>
          <w:tcPr>
            <w:tcW w:type="dxa" w:w="2493"/>
          </w:tcPr>
          <w:p>
            <w:pPr>
              <w:jc w:val="left"/>
            </w:pPr>
            <w:r/>
            <w:r>
              <w:rPr>
                <w:rFonts w:ascii="Arial" w:hAnsi="Arial"/>
                <w:sz w:val="18"/>
              </w:rPr>
              <w:t>Body-map icons for energy, nerve, and muscle function.</w:t>
            </w:r>
          </w:p>
        </w:tc>
        <w:tc>
          <w:tcPr>
            <w:tcW w:type="dxa" w:w="2493"/>
          </w:tcPr>
          <w:p>
            <w:pPr>
              <w:jc w:val="left"/>
            </w:pPr>
            <w:r/>
            <w:r>
              <w:rPr>
                <w:rFonts w:ascii="Arial" w:hAnsi="Arial"/>
                <w:sz w:val="18"/>
              </w:rPr>
              <w:t>Mechanism</w:t>
            </w:r>
          </w:p>
        </w:tc>
        <w:tc>
          <w:tcPr>
            <w:tcW w:type="dxa" w:w="2493"/>
          </w:tcPr>
          <w:p>
            <w:pPr>
              <w:jc w:val="left"/>
            </w:pPr>
            <w:r/>
            <w:r>
              <w:rPr>
                <w:rFonts w:ascii="Arial" w:hAnsi="Arial"/>
                <w:sz w:val="18"/>
              </w:rPr>
              <w:t>Magnesium supports hundreds of enzyme systems, including energy, nerves, and muscle function.</w:t>
            </w:r>
          </w:p>
        </w:tc>
        <w:tc>
          <w:tcPr>
            <w:tcW w:type="dxa" w:w="2493"/>
          </w:tcPr>
          <w:p>
            <w:pPr>
              <w:jc w:val="left"/>
            </w:pPr>
            <w:r/>
            <w:r>
              <w:rPr>
                <w:rFonts w:ascii="Arial" w:hAnsi="Arial"/>
                <w:sz w:val="18"/>
              </w:rPr>
              <w:t>HUNDREDS OF SYSTEMS</w:t>
            </w:r>
          </w:p>
        </w:tc>
      </w:tr>
      <w:tr>
        <w:tc>
          <w:tcPr>
            <w:tcW w:type="dxa" w:w="2493"/>
          </w:tcPr>
          <w:p>
            <w:pPr>
              <w:jc w:val="left"/>
            </w:pPr>
            <w:r/>
            <w:r>
              <w:rPr>
                <w:rFonts w:ascii="Arial" w:hAnsi="Arial"/>
                <w:sz w:val="18"/>
              </w:rPr>
              <w:t>Clean form-board reveal. Twelve cards settle around the real bottle.</w:t>
            </w:r>
          </w:p>
        </w:tc>
        <w:tc>
          <w:tcPr>
            <w:tcW w:type="dxa" w:w="2493"/>
          </w:tcPr>
          <w:p>
            <w:pPr>
              <w:jc w:val="left"/>
            </w:pPr>
            <w:r/>
            <w:r>
              <w:rPr>
                <w:rFonts w:ascii="Arial" w:hAnsi="Arial"/>
                <w:sz w:val="18"/>
              </w:rPr>
              <w:t>Product reveal</w:t>
            </w:r>
          </w:p>
        </w:tc>
        <w:tc>
          <w:tcPr>
            <w:tcW w:type="dxa" w:w="2493"/>
          </w:tcPr>
          <w:p>
            <w:pPr>
              <w:jc w:val="left"/>
            </w:pPr>
            <w:r/>
            <w:r>
              <w:rPr>
                <w:rFonts w:ascii="Arial" w:hAnsi="Arial"/>
                <w:sz w:val="18"/>
              </w:rPr>
              <w:t>Puravita gives him 12 active magnesium forms to inspect in one formula.</w:t>
            </w:r>
          </w:p>
        </w:tc>
        <w:tc>
          <w:tcPr>
            <w:tcW w:type="dxa" w:w="2493"/>
          </w:tcPr>
          <w:p>
            <w:pPr>
              <w:jc w:val="left"/>
            </w:pPr>
            <w:r/>
            <w:r>
              <w:rPr>
                <w:rFonts w:ascii="Arial" w:hAnsi="Arial"/>
                <w:sz w:val="18"/>
              </w:rPr>
              <w:t>12 ACTIVE FORMS</w:t>
            </w:r>
          </w:p>
        </w:tc>
      </w:tr>
      <w:tr>
        <w:tc>
          <w:tcPr>
            <w:tcW w:type="dxa" w:w="2493"/>
          </w:tcPr>
          <w:p>
            <w:pPr>
              <w:jc w:val="left"/>
            </w:pPr>
            <w:r/>
            <w:r>
              <w:rPr>
                <w:rFonts w:ascii="Arial" w:hAnsi="Arial"/>
                <w:sz w:val="18"/>
              </w:rPr>
              <w:t>Bottle and form list. CTA appears after the voice lands.</w:t>
            </w:r>
          </w:p>
        </w:tc>
        <w:tc>
          <w:tcPr>
            <w:tcW w:type="dxa" w:w="2493"/>
          </w:tcPr>
          <w:p>
            <w:pPr>
              <w:jc w:val="left"/>
            </w:pPr>
            <w:r/>
            <w:r>
              <w:rPr>
                <w:rFonts w:ascii="Arial" w:hAnsi="Arial"/>
                <w:sz w:val="18"/>
              </w:rPr>
              <w:t>CTA</w:t>
            </w:r>
          </w:p>
        </w:tc>
        <w:tc>
          <w:tcPr>
            <w:tcW w:type="dxa" w:w="2493"/>
          </w:tcPr>
          <w:p>
            <w:pPr>
              <w:jc w:val="left"/>
            </w:pPr>
            <w:r/>
            <w:r>
              <w:rPr>
                <w:rFonts w:ascii="Arial" w:hAnsi="Arial"/>
                <w:sz w:val="18"/>
              </w:rPr>
              <w:t>Open the product page. Read the forms. Compare it to the simpler bottle.</w:t>
            </w:r>
          </w:p>
        </w:tc>
        <w:tc>
          <w:tcPr>
            <w:tcW w:type="dxa" w:w="2493"/>
          </w:tcPr>
          <w:p>
            <w:pPr>
              <w:jc w:val="left"/>
            </w:pPr>
            <w:r/>
            <w:r>
              <w:rPr>
                <w:rFonts w:ascii="Arial" w:hAnsi="Arial"/>
                <w:sz w:val="18"/>
              </w:rPr>
              <w:t>READ THE FORMS</w:t>
            </w:r>
          </w:p>
        </w:tc>
      </w:tr>
    </w:tbl>
    <w:p>
      <w:pPr>
        <w:spacing w:before="400" w:after="80"/>
      </w:pPr>
      <w:r>
        <w:rPr>
          <w:rFonts w:ascii="Arial" w:hAnsi="Arial"/>
          <w:b/>
          <w:color w:val="0074FE"/>
          <w:sz w:val="28"/>
        </w:rPr>
        <w:t>Notes</w:t>
      </w:r>
    </w:p>
    <w:p>
      <w:pPr>
        <w:spacing w:before="80" w:after="80"/>
      </w:pPr>
      <w:r/>
      <w:r>
        <w:rPr>
          <w:rFonts w:ascii="Arial" w:hAnsi="Arial"/>
          <w:sz w:val="20"/>
        </w:rPr>
        <w:t>Note: Use label/PDP-approved structure-function claims only. Correct proof base: magnesium supports more than 300 enzyme systems; less than 1% of total body magnesium is in serum; supplement forms can differ in absorption. Avoid depletion certainty, sleep cures, fatigue claims as promised outcomes, disease language, named-influencer dependency, and diagnosis framing. Source anchors: https://shoppuravita.com/products/puravita%C2%AE-magnesium-complex; https://ods.od.nih.gov/factsheets/Magnesium-HealthProfessional/.</w:t>
      </w:r>
    </w:p>
    <w:p>
      <w:pPr>
        <w:spacing w:before="560"/>
        <w:jc w:val="center"/>
        <w:pBdr>
          <w:top w:val="single" w:sz="4" w:space="4" w:color="CCCCCC"/>
        </w:pBdr>
      </w:pPr>
      <w:r>
        <w:rPr>
          <w:color w:val="808080"/>
          <w:sz w:val="18"/>
        </w:rPr>
        <w:t>TrendScale  ·  Brief Template v1.3  ·  trendscale.net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