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rFonts w:ascii="Arial" w:hAnsi="Arial"/>
          <w:b/>
          <w:color w:val="0074FE"/>
          <w:sz w:val="52"/>
        </w:rPr>
        <w:t>TRENDSCALE BRIEF</w:t>
      </w:r>
    </w:p>
    <w:p>
      <w:pPr>
        <w:spacing w:before="160" w:after="240"/>
      </w:pPr>
      <w:r/>
      <w:r>
        <w:rPr>
          <w:rFonts w:ascii="Arial" w:hAnsi="Arial"/>
          <w:sz w:val="20"/>
        </w:rPr>
        <w:t>Client-facing production brief. v4 high-taste elevation pass for founder review and editor handoff.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Strategic header</w:t>
      </w:r>
    </w:p>
    <w:p>
      <w:pPr>
        <w:spacing w:before="80" w:after="80"/>
      </w:pPr>
      <w:r/>
      <w:r>
        <w:rPr>
          <w:rFonts w:ascii="Arial" w:hAnsi="Arial"/>
          <w:sz w:val="20"/>
        </w:rPr>
        <w:t>Strategist: Farrice Cain</w:t>
      </w:r>
    </w:p>
    <w:p>
      <w:pPr>
        <w:spacing w:before="80" w:after="80"/>
      </w:pPr>
      <w:r/>
      <w:r>
        <w:rPr>
          <w:rFonts w:ascii="Arial" w:hAnsi="Arial"/>
          <w:sz w:val="20"/>
        </w:rPr>
        <w:t>Client: Puravita - 12-Form Magnesium Complex</w:t>
      </w:r>
    </w:p>
    <w:p>
      <w:pPr>
        <w:spacing w:before="80" w:after="80"/>
      </w:pPr>
      <w:r/>
      <w:r>
        <w:rPr>
          <w:rFonts w:ascii="Arial" w:hAnsi="Arial"/>
          <w:sz w:val="20"/>
        </w:rPr>
        <w:t>PDP: https://shoppuravita.com/products/puravita%C2%AE-magnesium-complex</w:t>
      </w:r>
    </w:p>
    <w:p>
      <w:pPr>
        <w:spacing w:before="80" w:after="80"/>
      </w:pPr>
      <w:r/>
      <w:r>
        <w:rPr>
          <w:rFonts w:ascii="Arial" w:hAnsi="Arial"/>
          <w:sz w:val="20"/>
        </w:rPr>
        <w:t>Media buyer notes: Primary test: hidden-signal metaphor into form-list curiosity. Lead with phone or lab-report tension, then move to 300+ enzyme systems, serum limits, form differences, and the 12-form PDP story.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type: Iteration</w:t>
      </w:r>
    </w:p>
    <w:p>
      <w:pPr>
        <w:spacing w:before="80" w:after="80"/>
      </w:pPr>
      <w:r/>
      <w:r>
        <w:rPr>
          <w:rFonts w:ascii="Arial" w:hAnsi="Arial"/>
          <w:sz w:val="20"/>
        </w:rPr>
        <w:t>Iterated from: The Battery You Can't See control concept.</w:t>
      </w:r>
    </w:p>
    <w:p>
      <w:pPr>
        <w:spacing w:before="80" w:after="80"/>
      </w:pPr>
      <w:r/>
      <w:r>
        <w:rPr>
          <w:rFonts w:ascii="Arial" w:hAnsi="Arial"/>
          <w:sz w:val="20"/>
        </w:rPr>
        <w:t>Avatar: Men 38 to 62, with a 45 to 55 sweet spot. He has routines, labs, and enough life pressure to distrust another sleep-magnesium ad. He needs a clean way to understand the signal before he considers the bottle.</w:t>
      </w:r>
    </w:p>
    <w:p>
      <w:pPr>
        <w:spacing w:before="80" w:after="80"/>
      </w:pPr>
      <w:r/>
      <w:r>
        <w:rPr>
          <w:rFonts w:ascii="Arial" w:hAnsi="Arial"/>
          <w:sz w:val="20"/>
        </w:rPr>
        <w:t>Awareness level: Unaware to Problem aware</w:t>
      </w:r>
    </w:p>
    <w:p>
      <w:pPr>
        <w:spacing w:before="80" w:after="80"/>
      </w:pPr>
      <w:r/>
      <w:r>
        <w:rPr>
          <w:rFonts w:ascii="Arial" w:hAnsi="Arial"/>
          <w:sz w:val="20"/>
        </w:rPr>
        <w:t>Hypothesis: The battery concept works when the first beat feels like a missing dashboard, not a symptom list. Once the signal is open, the serum window and 12-form label give Puravita a reason to be inspected.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Inspiration and editing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inspo: Phone at 5 percent, normal lab panel, untouched coffee, soft body-map glow, serum window card, form list, quiet product reveal.</w:t>
      </w:r>
    </w:p>
    <w:p>
      <w:pPr>
        <w:spacing w:before="80" w:after="80"/>
      </w:pPr>
      <w:r/>
      <w:r>
        <w:rPr>
          <w:rFonts w:ascii="Arial" w:hAnsi="Arial"/>
          <w:sz w:val="20"/>
        </w:rPr>
        <w:t>Cast type: HeyGen presenter with cinematic AI b-roll and real product photography.</w:t>
      </w:r>
    </w:p>
    <w:p>
      <w:pPr>
        <w:spacing w:before="80" w:after="80"/>
      </w:pPr>
      <w:r/>
      <w:r>
        <w:rPr>
          <w:rFonts w:ascii="Arial" w:hAnsi="Arial"/>
          <w:sz w:val="20"/>
        </w:rPr>
        <w:t>AI avatar look: Male, 45 to 50, understated, slight gray at temples, simple sweater or overshirt, warm kitchen light. Calm and observant.</w:t>
      </w:r>
    </w:p>
    <w:p>
      <w:pPr>
        <w:spacing w:before="80" w:after="80"/>
      </w:pPr>
      <w:r/>
      <w:r>
        <w:rPr>
          <w:rFonts w:ascii="Arial" w:hAnsi="Arial"/>
          <w:sz w:val="20"/>
        </w:rPr>
        <w:t>Pacing: Quiet first beat, sharp signal turn, clean proof card, slow label reveal.</w:t>
      </w:r>
    </w:p>
    <w:p>
      <w:pPr>
        <w:spacing w:before="80" w:after="80"/>
      </w:pPr>
      <w:r/>
      <w:r>
        <w:rPr>
          <w:rFonts w:ascii="Arial" w:hAnsi="Arial"/>
          <w:sz w:val="20"/>
        </w:rPr>
        <w:t>Main emotion: Recognition without diagnosis. The viewer should feel the ad named a gap without naming him.</w:t>
      </w:r>
    </w:p>
    <w:p>
      <w:pPr>
        <w:spacing w:before="80" w:after="80"/>
      </w:pPr>
      <w:r/>
      <w:r>
        <w:rPr>
          <w:rFonts w:ascii="Arial" w:hAnsi="Arial"/>
          <w:sz w:val="20"/>
        </w:rPr>
        <w:t>Voiceover: Quiet, restrained, and observational. It should sound like someone noticing the missing instrument on the dashboard.</w:t>
      </w:r>
    </w:p>
    <w:p>
      <w:pPr>
        <w:spacing w:before="80" w:after="80"/>
      </w:pPr>
      <w:r/>
      <w:r>
        <w:rPr>
          <w:rFonts w:ascii="Arial" w:hAnsi="Arial"/>
          <w:sz w:val="20"/>
        </w:rPr>
        <w:t>Music: Sparse piano or low ambient bed at minus 18dB. Silence under the final label line.</w:t>
      </w:r>
    </w:p>
    <w:p>
      <w:pPr>
        <w:spacing w:before="80" w:after="80"/>
      </w:pPr>
      <w:r/>
      <w:r>
        <w:rPr>
          <w:rFonts w:ascii="Arial" w:hAnsi="Arial"/>
          <w:sz w:val="20"/>
        </w:rPr>
        <w:t>Caption style: Manual burned-in captions. Six words per frame maximum. Sage for serum and form callouts.</w:t>
      </w:r>
    </w:p>
    <w:p>
      <w:pPr>
        <w:spacing w:before="80" w:after="80"/>
      </w:pPr>
      <w:r/>
      <w:r>
        <w:rPr>
          <w:rFonts w:ascii="Arial" w:hAnsi="Arial"/>
          <w:sz w:val="20"/>
        </w:rPr>
        <w:t>Overall direction: Make the first half an invisible-signal story and the second half a label inspection story. Keep the battery metaphor, but let the product earn the click through the form list.</w:t>
      </w:r>
    </w:p>
    <w:p>
      <w:pPr>
        <w:spacing w:before="80" w:after="80"/>
      </w:pPr>
      <w:r/>
      <w:r>
        <w:rPr>
          <w:rFonts w:ascii="Arial" w:hAnsi="Arial"/>
          <w:sz w:val="20"/>
        </w:rPr>
        <w:t>Editing notes: Use hand-only phone b-roll and clean document-style lab visuals. Use a soft body-map glow, not literal anatomy. Avoid exhausted-person stock, doctor coats, disease language, diagnosis, urgency text, and influencer quote cards unless cleared by the client.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Script</w:t>
      </w:r>
    </w:p>
    <w:p>
      <w:pPr>
        <w:spacing w:before="80" w:after="80"/>
      </w:pPr>
      <w:r/>
      <w:r>
        <w:rPr>
          <w:rFonts w:ascii="Arial" w:hAnsi="Arial"/>
          <w:sz w:val="20"/>
        </w:rPr>
        <w:t>Format: Video, 9:16, 35 to 45 seconds. Optional 4:5 static thumbstop using the phone or lab-report hook.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Visual / editing notes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Script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On-screen text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Phone at 5 percent on a nightstand. Dawn light. Hand only, no face.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 phone shows 5 percent. The body rarely gets a battery icon.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NO BODY BATTERY ICON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Clean lab report slides into frame. The word normal is visible. Coffee sits untouched.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report says normal. The morning is less polite.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NORMAL ON PAPER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Common sleep-ad visuals flicker off. A soft body-map glow replaces them.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Sleep gets the headline. The signal comes first.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BEFORE SLEEP: SIGNAL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Body map lights up nerves, muscle, and energy icons. Keep it editorial, not medical.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Mechanism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Magnesium supports more than 300 enzyme systems. Energy metabolism. Nerves. Muscle.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300+ ENZYME SYSTEMS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Bloodstream label shows less than 1%. Camera pulls back to bone, muscle, and soft tissue.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Proof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Less than 1% of total body magnesium is in serum. That makes bloodwork a narrow window.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&lt;1% IN SERUM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Formula board. Twelve form cards appear one by one, clean and readable.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 turn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After the signal, look at the form. Magnesium supplements do not absorb the same way.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 CHANGES THE STORY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Real Puravita bottle. Twelve form cards settle around the label.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Product reveal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Puravita brings 12 magnesium forms into one formula. That makes the label worth reading.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12-FORM MAGNESIUM COMPLEX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Bottle and supplement-facts panel. CTA appears after the final sentence.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CTA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Read the form list. Check the amount. Choose with the label open.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READ THE FORM LIST</w:t>
            </w:r>
          </w:p>
        </w:tc>
      </w:tr>
    </w:tbl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Notes</w:t>
      </w:r>
    </w:p>
    <w:p>
      <w:pPr>
        <w:spacing w:before="80" w:after="80"/>
      </w:pPr>
      <w:r/>
      <w:r>
        <w:rPr>
          <w:rFonts w:ascii="Arial" w:hAnsi="Arial"/>
          <w:sz w:val="20"/>
        </w:rPr>
        <w:t>Note: Use label/PDP-approved structure-function claims only. Correct proof base: magnesium supports more than 300 enzyme systems; less than 1% of total body magnesium is in serum; supplement forms can differ in absorption. Avoid depletion certainty, sleep cures, fatigue claims, and unapproved named-influencer usage. Source anchor: NIH ODS Magnesium Health Professional Fact Sheet, https://ods.od.nih.gov/factsheets/Magnesium-HealthProfessional/.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8"/>
        </w:rPr>
        <w:t>TrendScale  ·  Brief Template v1.3  ·  trendscale.net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