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b/>
          <w:sz w:val="36"/>
        </w:rPr>
        <w:t>TRENDSCALE BRIEF</w:t>
      </w:r>
    </w:p>
    <w:p>
      <w:pPr>
        <w:spacing w:before="160" w:after="240"/>
      </w:pPr>
      <w:r>
        <w:rPr>
          <w:b w:val="0"/>
          <w:sz w:val="18"/>
        </w:rPr>
        <w:t>Revised script brief for review. Filled to match TrendScale Brief Template v1.3.</w:t>
      </w:r>
    </w:p>
    <w:p>
      <w:pPr>
        <w:spacing w:before="400" w:after="80"/>
      </w:pPr>
      <w:r>
        <w:rPr>
          <w:b/>
          <w:sz w:val="24"/>
        </w:rPr>
        <w:t>Strategic header</w:t>
      </w:r>
    </w:p>
    <w:p>
      <w:pPr>
        <w:spacing w:before="80" w:after="80"/>
      </w:pPr>
      <w:r>
        <w:rPr>
          <w:b/>
        </w:rPr>
        <w:t xml:space="preserve">Strategist: </w:t>
      </w:r>
      <w:r>
        <w:rPr>
          <w:b w:val="0"/>
        </w:rPr>
        <w:t>Farrice Cain</w:t>
      </w:r>
    </w:p>
    <w:p>
      <w:pPr>
        <w:spacing w:before="80" w:after="80"/>
      </w:pPr>
      <w:r>
        <w:rPr>
          <w:b/>
        </w:rPr>
        <w:t xml:space="preserve">Client: </w:t>
      </w:r>
      <w:r>
        <w:rPr>
          <w:b w:val="0"/>
        </w:rPr>
        <w:t>Puravita - Magnesium Complex, 12 forms</w:t>
      </w:r>
    </w:p>
    <w:p>
      <w:pPr>
        <w:spacing w:before="80" w:after="80"/>
      </w:pPr>
      <w:r>
        <w:rPr>
          <w:b/>
        </w:rPr>
        <w:t xml:space="preserve">PDP: </w:t>
      </w:r>
      <w:r>
        <w:rPr>
          <w:b w:val="0"/>
        </w:rPr>
        <w:t>Client to insert PDP URL.</w:t>
      </w:r>
    </w:p>
    <w:p>
      <w:pPr>
        <w:spacing w:before="80" w:after="80"/>
      </w:pPr>
      <w:r>
        <w:rPr>
          <w:b/>
        </w:rPr>
        <w:t xml:space="preserve">Media buyer notes: </w:t>
      </w:r>
      <w:r>
        <w:rPr>
          <w:b w:val="0"/>
        </w:rPr>
        <w:t>Founder liked the research. This revision keeps the Battery You Can't See metaphor, turns the research into a tighter production brief, and avoids diagnosing the viewer or promising treatment outcomes.</w:t>
      </w:r>
    </w:p>
    <w:p>
      <w:pPr>
        <w:spacing w:before="80" w:after="80"/>
      </w:pPr>
      <w:r>
        <w:rPr>
          <w:b/>
        </w:rPr>
        <w:t xml:space="preserve">Concept type: </w:t>
      </w:r>
      <w:r>
        <w:rPr>
          <w:b w:val="0"/>
        </w:rPr>
        <w:t>Iteration</w:t>
      </w:r>
    </w:p>
    <w:p>
      <w:pPr>
        <w:spacing w:before="80" w:after="80"/>
      </w:pPr>
      <w:r>
        <w:rPr>
          <w:b/>
        </w:rPr>
        <w:t xml:space="preserve">Iterated from: </w:t>
      </w:r>
      <w:r>
        <w:rPr>
          <w:b w:val="0"/>
        </w:rPr>
        <w:t>The Battery You Can't See mini-VSL concept.</w:t>
      </w:r>
    </w:p>
    <w:p>
      <w:pPr>
        <w:spacing w:before="80" w:after="80"/>
      </w:pPr>
      <w:r>
        <w:t>Avatar: Men and women 35 to 55 who are wellness-aware, supplement-curious, and tired of generic sleep or energy advice. More hype will lose them. They need a simple reason magnesium could matter even when basic routines look fine.</w:t>
      </w:r>
    </w:p>
    <w:p>
      <w:pPr>
        <w:spacing w:before="80" w:after="80"/>
      </w:pPr>
      <w:r>
        <w:rPr>
          <w:b/>
        </w:rPr>
        <w:t xml:space="preserve">Awareness level: </w:t>
      </w:r>
      <w:r>
        <w:rPr>
          <w:b w:val="0"/>
        </w:rPr>
        <w:t>Unaware to Problem aware</w:t>
      </w:r>
    </w:p>
    <w:p>
      <w:pPr>
        <w:spacing w:before="80" w:after="80"/>
      </w:pPr>
      <w:r>
        <w:rPr>
          <w:b/>
        </w:rPr>
        <w:t xml:space="preserve">Hypothesis: </w:t>
      </w:r>
      <w:r>
        <w:rPr>
          <w:b w:val="0"/>
        </w:rPr>
        <w:t>The phone-battery metaphor will create fast recognition without diagnosing the viewer. The ad then uses the serum-magnesium gap to make the invisible issue feel concrete, before positioning a 12-form magnesium formula as the broader answer.</w:t>
      </w:r>
    </w:p>
    <w:p>
      <w:pPr>
        <w:spacing w:before="400" w:after="80"/>
      </w:pPr>
      <w:r>
        <w:rPr>
          <w:b/>
          <w:sz w:val="24"/>
        </w:rPr>
        <w:t>Inspiration and editing</w:t>
      </w:r>
    </w:p>
    <w:p>
      <w:pPr>
        <w:spacing w:before="80" w:after="80"/>
      </w:pPr>
      <w:r>
        <w:rPr>
          <w:b/>
        </w:rPr>
        <w:t xml:space="preserve">Concept inspo: </w:t>
      </w:r>
      <w:r>
        <w:rPr>
          <w:b w:val="0"/>
        </w:rPr>
        <w:t>Phone battery at 5 percent, morning kitchen, normal lab report, glowing tissue map, restrained podcast-style authority card.</w:t>
      </w:r>
    </w:p>
    <w:p>
      <w:pPr>
        <w:spacing w:before="80" w:after="80"/>
      </w:pPr>
      <w:r>
        <w:t>Cast type: AI UGC via HeyGen narrator plus AI b-roll. Use polished AI narrator style rather than casual handheld UGC.</w:t>
      </w:r>
    </w:p>
    <w:p>
      <w:pPr>
        <w:spacing w:before="80" w:after="80"/>
      </w:pPr>
      <w:r>
        <w:rPr>
          <w:b/>
        </w:rPr>
        <w:t xml:space="preserve">AI avatar look: </w:t>
      </w:r>
      <w:r>
        <w:rPr>
          <w:b w:val="0"/>
        </w:rPr>
        <w:t>Male, 45 to 50, weathered-handsome, slight gray at temples, simple sweater or overshirt, warm kitchen light. Calm, not influencer-polished.</w:t>
      </w:r>
    </w:p>
    <w:p>
      <w:pPr>
        <w:spacing w:before="80" w:after="80"/>
      </w:pPr>
      <w:r>
        <w:rPr>
          <w:b/>
        </w:rPr>
        <w:t xml:space="preserve">Pacing: </w:t>
      </w:r>
      <w:r>
        <w:rPr>
          <w:b w:val="0"/>
        </w:rPr>
        <w:t>Medium. Slower hook, tighter mechanism sequence, quiet final hold.</w:t>
      </w:r>
    </w:p>
    <w:p>
      <w:pPr>
        <w:spacing w:before="80" w:after="80"/>
      </w:pPr>
      <w:r>
        <w:rPr>
          <w:b/>
        </w:rPr>
        <w:t xml:space="preserve">Main emotion: </w:t>
      </w:r>
      <w:r>
        <w:rPr>
          <w:b w:val="0"/>
        </w:rPr>
        <w:t>Private recognition, then curiosity, then permission to look closer.</w:t>
      </w:r>
    </w:p>
    <w:p>
      <w:pPr>
        <w:spacing w:before="80" w:after="80"/>
      </w:pPr>
      <w:r>
        <w:rPr>
          <w:b/>
        </w:rPr>
        <w:t xml:space="preserve">Voiceover: </w:t>
      </w:r>
      <w:r>
        <w:rPr>
          <w:b w:val="0"/>
        </w:rPr>
        <w:t>Quiet and grounded. The narrator names the pattern without sounding alarmist.</w:t>
      </w:r>
    </w:p>
    <w:p>
      <w:pPr>
        <w:spacing w:before="80" w:after="80"/>
      </w:pPr>
      <w:r>
        <w:rPr>
          <w:b/>
        </w:rPr>
        <w:t xml:space="preserve">Music: </w:t>
      </w:r>
      <w:r>
        <w:rPr>
          <w:b w:val="0"/>
        </w:rPr>
        <w:t>Sparse piano or low ambient bed at minus 18dB. Silence under final CTA.</w:t>
      </w:r>
    </w:p>
    <w:p>
      <w:pPr>
        <w:spacing w:before="80" w:after="80"/>
      </w:pPr>
      <w:r>
        <w:rPr>
          <w:b/>
        </w:rPr>
        <w:t xml:space="preserve">Caption style: </w:t>
      </w:r>
      <w:r>
        <w:rPr>
          <w:b w:val="0"/>
        </w:rPr>
        <w:t>Manual burned-in captions, bottom third, six words per frame maximum. Use sage for mechanism callouts, amber only for the authority card.</w:t>
      </w:r>
    </w:p>
    <w:p>
      <w:pPr>
        <w:spacing w:before="80" w:after="80"/>
      </w:pPr>
      <w:r>
        <w:t>Overall direction: Frame this as an invisible-signal ad: the body lacks a dashboard, and the viewer remains in control.</w:t>
      </w:r>
    </w:p>
    <w:p>
      <w:pPr>
        <w:spacing w:before="80" w:after="80"/>
      </w:pPr>
      <w:r>
        <w:t>Editing notes: Use hand-only b-roll for the phone. Avoid stock exhausted-person footage, doctor coats, and disease language. The glowing body sequence should feel like an editorial metaphor, not a clinical scan.</w:t>
      </w:r>
    </w:p>
    <w:p>
      <w:pPr>
        <w:spacing w:before="400" w:after="80"/>
      </w:pPr>
      <w:r>
        <w:rPr>
          <w:b/>
          <w:sz w:val="24"/>
        </w:rPr>
        <w:t>Script</w:t>
      </w:r>
    </w:p>
    <w:p>
      <w:pPr>
        <w:spacing w:before="80" w:after="80"/>
      </w:pPr>
      <w:r>
        <w:rPr>
          <w:b/>
        </w:rPr>
        <w:t xml:space="preserve">Format: </w:t>
      </w:r>
      <w:r>
        <w:rPr>
          <w:b w:val="0"/>
        </w:rPr>
        <w:t>Video, 9:16, 45 seconds. One static 4:5 fallback optional.</w:t>
      </w:r>
    </w:p>
    <w:tbl>
      <w:tblPr>
        <w:tblW w:type="auto" w:w="0"/>
        <w:jc w:val="center"/>
        <w:tblLook w:firstColumn="1" w:firstRow="1" w:lastColumn="0" w:lastRow="0" w:noHBand="0" w:noVBand="1" w:val="04A0"/>
      </w:tblPr>
      <w:tblGrid>
        <w:gridCol w:w="2493"/>
        <w:gridCol w:w="2493"/>
        <w:gridCol w:w="2493"/>
        <w:gridCol w:w="2493"/>
      </w:tblGrid>
      <w:tr>
        <w:tc>
          <w:tcPr>
            <w:tcW w:type="dxa" w:w="2952"/>
            <w:shd w:val="clear" w:fill="0074FE"/>
            <w:tcBorders>
              <w:top w:val="single" w:sz="4" w:color="CCCCCC"/>
              <w:left w:val="single" w:sz="4" w:color="CCCCCC"/>
              <w:bottom w:val="single" w:sz="4" w:color="CCCCCC"/>
              <w:right w:val="single" w:sz="4" w:color="CCCCCC"/>
            </w:tcBorders>
            <w:vAlign w:val="top"/>
            <w:shd w:fill="D9EAF7"/>
          </w:tcPr>
          <w:p>
            <w:r>
              <w:rPr>
                <w:b/>
                <w:sz w:val="19"/>
              </w:rPr>
              <w:t>Visual / editing notes</w:t>
            </w:r>
          </w:p>
        </w:tc>
        <w:tc>
          <w:tcPr>
            <w:tcW w:type="dxa" w:w="1440"/>
            <w:shd w:val="clear" w:fill="0074FE"/>
            <w:tcBorders>
              <w:top w:val="single" w:sz="4" w:color="CCCCCC"/>
              <w:left w:val="single" w:sz="4" w:color="CCCCCC"/>
              <w:bottom w:val="single" w:sz="4" w:color="CCCCCC"/>
              <w:right w:val="single" w:sz="4" w:color="CCCCCC"/>
            </w:tcBorders>
            <w:vAlign w:val="top"/>
            <w:shd w:fill="D9EAF7"/>
          </w:tcPr>
          <w:p>
            <w:r>
              <w:rPr>
                <w:b/>
                <w:sz w:val="19"/>
              </w:rPr>
              <w:t>Section</w:t>
            </w:r>
          </w:p>
        </w:tc>
        <w:tc>
          <w:tcPr>
            <w:tcW w:type="dxa" w:w="4536"/>
            <w:shd w:val="clear" w:fill="0074FE"/>
            <w:tcBorders>
              <w:top w:val="single" w:sz="4" w:color="CCCCCC"/>
              <w:left w:val="single" w:sz="4" w:color="CCCCCC"/>
              <w:bottom w:val="single" w:sz="4" w:color="CCCCCC"/>
              <w:right w:val="single" w:sz="4" w:color="CCCCCC"/>
            </w:tcBorders>
            <w:vAlign w:val="top"/>
            <w:shd w:fill="D9EAF7"/>
          </w:tcPr>
          <w:p>
            <w:r>
              <w:rPr>
                <w:b/>
                <w:sz w:val="19"/>
              </w:rPr>
              <w:t>Script</w:t>
            </w:r>
          </w:p>
        </w:tc>
        <w:tc>
          <w:tcPr>
            <w:tcW w:type="dxa" w:w="2304"/>
            <w:shd w:val="clear" w:fill="0074FE"/>
            <w:tcBorders>
              <w:top w:val="single" w:sz="4" w:color="CCCCCC"/>
              <w:left w:val="single" w:sz="4" w:color="CCCCCC"/>
              <w:bottom w:val="single" w:sz="4" w:color="CCCCCC"/>
              <w:right w:val="single" w:sz="4" w:color="CCCCCC"/>
            </w:tcBorders>
            <w:vAlign w:val="top"/>
            <w:shd w:fill="D9EAF7"/>
          </w:tcPr>
          <w:p>
            <w:r>
              <w:rPr>
                <w:b/>
                <w:sz w:val="19"/>
              </w:rPr>
              <w:t>On-screen text</w:t>
            </w:r>
          </w:p>
        </w:tc>
      </w:tr>
      <w:tr>
        <w:tc>
          <w:tcPr>
            <w:tcW w:type="dxa" w:w="2952"/>
            <w:vAlign w:val="top"/>
          </w:tcPr>
          <w:p>
            <w:r>
              <w:t>Close-up of a phone at 5 percent on a nightstand. Slow pull-back. A hand reaches in. Hand-only framing. Keep faces out of this shot.</w:t>
            </w:r>
          </w:p>
        </w:tc>
        <w:tc>
          <w:tcPr>
            <w:tcW w:type="dxa" w:w="1440"/>
            <w:vAlign w:val="top"/>
          </w:tcPr>
          <w:p>
            <w:r>
              <w:rPr>
                <w:b w:val="0"/>
                <w:sz w:val="18"/>
              </w:rPr>
              <w:t>Hook 1</w:t>
            </w:r>
          </w:p>
        </w:tc>
        <w:tc>
          <w:tcPr>
            <w:tcW w:type="dxa" w:w="4536"/>
            <w:vAlign w:val="top"/>
          </w:tcPr>
          <w:p>
            <w:r>
              <w:rPr>
                <w:b w:val="0"/>
                <w:sz w:val="18"/>
              </w:rPr>
              <w:t>A phone tells you when it is at five percent. The body is quieter.</w:t>
            </w:r>
          </w:p>
        </w:tc>
        <w:tc>
          <w:tcPr>
            <w:tcW w:type="dxa" w:w="2304"/>
            <w:vAlign w:val="top"/>
          </w:tcPr>
          <w:p>
            <w:r>
              <w:rPr>
                <w:b w:val="0"/>
                <w:sz w:val="18"/>
              </w:rPr>
              <w:t>The battery your body does not show.</w:t>
            </w:r>
          </w:p>
        </w:tc>
      </w:tr>
      <w:tr>
        <w:tc>
          <w:tcPr>
            <w:tcW w:type="dxa" w:w="2952"/>
            <w:vAlign w:val="top"/>
          </w:tcPr>
          <w:p>
            <w:r>
              <w:rPr>
                <w:b w:val="0"/>
                <w:sz w:val="18"/>
              </w:rPr>
              <w:t>Normal lab report closes. Frame widens into a stylized body map with bone, muscle, and tissue glow.</w:t>
            </w:r>
          </w:p>
        </w:tc>
        <w:tc>
          <w:tcPr>
            <w:tcW w:type="dxa" w:w="1440"/>
            <w:vAlign w:val="top"/>
          </w:tcPr>
          <w:p>
            <w:r>
              <w:rPr>
                <w:b w:val="0"/>
                <w:sz w:val="18"/>
              </w:rPr>
              <w:t>Hook 2</w:t>
            </w:r>
          </w:p>
        </w:tc>
        <w:tc>
          <w:tcPr>
            <w:tcW w:type="dxa" w:w="4536"/>
            <w:vAlign w:val="top"/>
          </w:tcPr>
          <w:p>
            <w:r>
              <w:rPr>
                <w:b w:val="0"/>
                <w:sz w:val="18"/>
              </w:rPr>
              <w:t>A normal blood test can look fine while the magnesium story is happening somewhere else.</w:t>
            </w:r>
          </w:p>
        </w:tc>
        <w:tc>
          <w:tcPr>
            <w:tcW w:type="dxa" w:w="2304"/>
            <w:vAlign w:val="top"/>
          </w:tcPr>
          <w:p>
            <w:r>
              <w:rPr>
                <w:b w:val="0"/>
                <w:sz w:val="18"/>
              </w:rPr>
              <w:t>Serum shows a small fraction.</w:t>
            </w:r>
          </w:p>
        </w:tc>
      </w:tr>
      <w:tr>
        <w:tc>
          <w:tcPr>
            <w:tcW w:type="dxa" w:w="2952"/>
            <w:vAlign w:val="top"/>
          </w:tcPr>
          <w:p>
            <w:r>
              <w:t>Morning kitchen. Coffee in foreground. Narrator stays still, restrained, and unperformed.</w:t>
            </w:r>
          </w:p>
        </w:tc>
        <w:tc>
          <w:tcPr>
            <w:tcW w:type="dxa" w:w="1440"/>
            <w:vAlign w:val="top"/>
          </w:tcPr>
          <w:p>
            <w:r>
              <w:rPr>
                <w:b w:val="0"/>
                <w:sz w:val="18"/>
              </w:rPr>
              <w:t>Hook 3</w:t>
            </w:r>
          </w:p>
        </w:tc>
        <w:tc>
          <w:tcPr>
            <w:tcW w:type="dxa" w:w="4536"/>
            <w:vAlign w:val="top"/>
          </w:tcPr>
          <w:p>
            <w:r>
              <w:t>Energy also lives in chemistry. It is chemistry, minerals, and whether the system has what it needs to run.</w:t>
            </w:r>
          </w:p>
        </w:tc>
        <w:tc>
          <w:tcPr>
            <w:tcW w:type="dxa" w:w="2304"/>
            <w:vAlign w:val="top"/>
          </w:tcPr>
          <w:p>
            <w:r>
              <w:rPr>
                <w:b w:val="0"/>
                <w:sz w:val="18"/>
              </w:rPr>
              <w:t>Energy is chemistry.</w:t>
            </w:r>
          </w:p>
        </w:tc>
      </w:tr>
      <w:tr>
        <w:tc>
          <w:tcPr>
            <w:tcW w:type="dxa" w:w="2952"/>
            <w:vAlign w:val="top"/>
          </w:tcPr>
          <w:p>
            <w:r>
              <w:rPr>
                <w:b w:val="0"/>
                <w:sz w:val="18"/>
              </w:rPr>
              <w:t>Soft glowing body map. Small label on blood, larger glow in bone, muscle, and tissue.</w:t>
            </w:r>
          </w:p>
        </w:tc>
        <w:tc>
          <w:tcPr>
            <w:tcW w:type="dxa" w:w="1440"/>
            <w:vAlign w:val="top"/>
          </w:tcPr>
          <w:p>
            <w:r>
              <w:rPr>
                <w:b w:val="0"/>
                <w:sz w:val="18"/>
              </w:rPr>
              <w:t>Body - mechanism</w:t>
            </w:r>
          </w:p>
        </w:tc>
        <w:tc>
          <w:tcPr>
            <w:tcW w:type="dxa" w:w="4536"/>
            <w:vAlign w:val="top"/>
          </w:tcPr>
          <w:p>
            <w:r>
              <w:rPr>
                <w:b w:val="0"/>
                <w:sz w:val="18"/>
              </w:rPr>
              <w:t>The mineral is magnesium. It helps support hundreds of normal enzyme reactions, including pathways tied to energy production, muscle function, nerve signaling, and sleep.</w:t>
            </w:r>
          </w:p>
        </w:tc>
        <w:tc>
          <w:tcPr>
            <w:tcW w:type="dxa" w:w="2304"/>
            <w:vAlign w:val="top"/>
          </w:tcPr>
          <w:p>
            <w:r>
              <w:rPr>
                <w:b w:val="0"/>
                <w:sz w:val="18"/>
              </w:rPr>
              <w:t>600+ enzyme reactions</w:t>
            </w:r>
            <w:r>
              <w:br/>
            </w:r>
            <w:r>
              <w:rPr>
                <w:b w:val="0"/>
                <w:sz w:val="18"/>
              </w:rPr>
              <w:t>Energy + muscle + nervous system</w:t>
            </w:r>
          </w:p>
        </w:tc>
      </w:tr>
      <w:tr>
        <w:tc>
          <w:tcPr>
            <w:tcW w:type="dxa" w:w="2952"/>
            <w:vAlign w:val="top"/>
          </w:tcPr>
          <w:p>
            <w:r>
              <w:t>Source-style text card over the body map. Keep it clean and readable, use a clean source card instead of a study screenshot.</w:t>
            </w:r>
          </w:p>
        </w:tc>
        <w:tc>
          <w:tcPr>
            <w:tcW w:type="dxa" w:w="1440"/>
            <w:vAlign w:val="top"/>
          </w:tcPr>
          <w:p>
            <w:r>
              <w:rPr>
                <w:b w:val="0"/>
                <w:sz w:val="18"/>
              </w:rPr>
              <w:t>Body - proof</w:t>
            </w:r>
          </w:p>
        </w:tc>
        <w:tc>
          <w:tcPr>
            <w:tcW w:type="dxa" w:w="4536"/>
            <w:vAlign w:val="top"/>
          </w:tcPr>
          <w:p>
            <w:r>
              <w:t>Standard serum magnesium represents only a small fraction of total body magnesium. Most magnesium is stored in bone, muscle, and tissue, which makes the standard panel an incomplete signal.</w:t>
            </w:r>
          </w:p>
        </w:tc>
        <w:tc>
          <w:tcPr>
            <w:tcW w:type="dxa" w:w="2304"/>
            <w:vAlign w:val="top"/>
          </w:tcPr>
          <w:p>
            <w:r>
              <w:rPr>
                <w:b w:val="0"/>
                <w:sz w:val="18"/>
              </w:rPr>
              <w:t>Serum is not the whole story.</w:t>
            </w:r>
          </w:p>
        </w:tc>
      </w:tr>
      <w:tr>
        <w:tc>
          <w:tcPr>
            <w:tcW w:type="dxa" w:w="2952"/>
            <w:vAlign w:val="top"/>
          </w:tcPr>
          <w:p>
            <w:r>
              <w:rPr>
                <w:b w:val="0"/>
                <w:sz w:val="18"/>
              </w:rPr>
              <w:t>Frosted-glass podcast card with subtle waveform. Then return to narrator.</w:t>
            </w:r>
          </w:p>
        </w:tc>
        <w:tc>
          <w:tcPr>
            <w:tcW w:type="dxa" w:w="1440"/>
            <w:vAlign w:val="top"/>
          </w:tcPr>
          <w:p>
            <w:r>
              <w:rPr>
                <w:b w:val="0"/>
                <w:sz w:val="18"/>
              </w:rPr>
              <w:t>Body - authority</w:t>
            </w:r>
          </w:p>
        </w:tc>
        <w:tc>
          <w:tcPr>
            <w:tcW w:type="dxa" w:w="4536"/>
            <w:vAlign w:val="top"/>
          </w:tcPr>
          <w:p>
            <w:r>
              <w:t>That is why magnesium keeps showing up in serious sleep and performance conversations. Huberman has discussed magnesium before sleep. Attia has discussed higher daily intake. The deeper point is form, the specific forms matter most.</w:t>
            </w:r>
          </w:p>
        </w:tc>
        <w:tc>
          <w:tcPr>
            <w:tcW w:type="dxa" w:w="2304"/>
            <w:vAlign w:val="top"/>
          </w:tcPr>
          <w:p>
            <w:r>
              <w:rPr>
                <w:b w:val="0"/>
                <w:sz w:val="18"/>
              </w:rPr>
              <w:t>The point is form.</w:t>
            </w:r>
          </w:p>
        </w:tc>
      </w:tr>
      <w:tr>
        <w:tc>
          <w:tcPr>
            <w:tcW w:type="dxa" w:w="2952"/>
            <w:vAlign w:val="top"/>
          </w:tcPr>
          <w:p>
            <w:r>
              <w:rPr>
                <w:b w:val="0"/>
                <w:sz w:val="18"/>
              </w:rPr>
              <w:t>Product bottle in warm kitchen light. Twelve small molecule glyphs pulse around it, one per form.</w:t>
            </w:r>
          </w:p>
        </w:tc>
        <w:tc>
          <w:tcPr>
            <w:tcW w:type="dxa" w:w="1440"/>
            <w:vAlign w:val="top"/>
          </w:tcPr>
          <w:p>
            <w:r>
              <w:rPr>
                <w:b w:val="0"/>
                <w:sz w:val="18"/>
              </w:rPr>
              <w:t>Body - product reveal</w:t>
            </w:r>
          </w:p>
        </w:tc>
        <w:tc>
          <w:tcPr>
            <w:tcW w:type="dxa" w:w="4536"/>
            <w:vAlign w:val="top"/>
          </w:tcPr>
          <w:p>
            <w:r>
              <w:t>Puravita uses 12 forms of magnesium, so the formula can speak to more than one pathway. One capsule before bed. Give it six to eight weeks, then judge the difference honestly.</w:t>
            </w:r>
          </w:p>
        </w:tc>
        <w:tc>
          <w:tcPr>
            <w:tcW w:type="dxa" w:w="2304"/>
            <w:vAlign w:val="top"/>
          </w:tcPr>
          <w:p>
            <w:r>
              <w:rPr>
                <w:b w:val="0"/>
                <w:sz w:val="18"/>
              </w:rPr>
              <w:t>12 forms</w:t>
            </w:r>
            <w:r>
              <w:br/>
            </w:r>
            <w:r>
              <w:rPr>
                <w:b w:val="0"/>
                <w:sz w:val="18"/>
              </w:rPr>
              <w:t>One capsule before bed</w:t>
            </w:r>
          </w:p>
        </w:tc>
      </w:tr>
      <w:tr>
        <w:tc>
          <w:tcPr>
            <w:tcW w:type="dxa" w:w="2952"/>
            <w:vAlign w:val="top"/>
          </w:tcPr>
          <w:p>
            <w:r>
              <w:rPr>
                <w:b w:val="0"/>
                <w:sz w:val="18"/>
              </w:rPr>
              <w:t>Hold product. Music drops out. Learn More button appears.</w:t>
            </w:r>
          </w:p>
        </w:tc>
        <w:tc>
          <w:tcPr>
            <w:tcW w:type="dxa" w:w="1440"/>
            <w:vAlign w:val="top"/>
          </w:tcPr>
          <w:p>
            <w:r>
              <w:rPr>
                <w:b w:val="0"/>
                <w:sz w:val="18"/>
              </w:rPr>
              <w:t>Body - CTA</w:t>
            </w:r>
          </w:p>
        </w:tc>
        <w:tc>
          <w:tcPr>
            <w:tcW w:type="dxa" w:w="4536"/>
            <w:vAlign w:val="top"/>
          </w:tcPr>
          <w:p>
            <w:r>
              <w:rPr>
                <w:b w:val="0"/>
                <w:sz w:val="18"/>
              </w:rPr>
              <w:t>The link is below if you want to read what is in it. Up to you.</w:t>
            </w:r>
          </w:p>
        </w:tc>
        <w:tc>
          <w:tcPr>
            <w:tcW w:type="dxa" w:w="2304"/>
            <w:vAlign w:val="top"/>
          </w:tcPr>
          <w:p>
            <w:r>
              <w:rPr>
                <w:b w:val="0"/>
                <w:sz w:val="18"/>
              </w:rPr>
              <w:t>Read the formula</w:t>
            </w:r>
            <w:r>
              <w:br/>
            </w:r>
            <w:r>
              <w:rPr>
                <w:b w:val="0"/>
                <w:sz w:val="18"/>
              </w:rPr>
              <w:t>Learn More</w:t>
            </w:r>
          </w:p>
        </w:tc>
      </w:tr>
    </w:tbl>
    <w:p>
      <w:pPr>
        <w:spacing w:before="400" w:after="80"/>
      </w:pPr>
      <w:r>
        <w:rPr>
          <w:b/>
          <w:sz w:val="24"/>
        </w:rPr>
        <w:t>Notes</w:t>
      </w:r>
    </w:p>
    <w:p>
      <w:pPr>
        <w:spacing w:before="80" w:after="80"/>
      </w:pPr>
      <w:r>
        <w:rPr>
          <w:b/>
        </w:rPr>
        <w:t xml:space="preserve">Note: </w:t>
      </w:r>
      <w:r>
        <w:rPr>
          <w:b w:val="0"/>
        </w:rPr>
        <w:t>Claims are framed as structure-function and mechanism education. Before launch, confirm final wording against the PDP, label, and brand legal review.</w:t>
      </w:r>
    </w:p>
    <w:p>
      <w:pPr>
        <w:spacing w:before="560"/>
        <w:jc w:val="center"/>
        <w:pBdr>
          <w:top w:val="single" w:sz="4" w:space="4" w:color="CCCCCC"/>
        </w:pBdr>
      </w:pPr>
      <w:r>
        <w:rPr>
          <w:color w:val="808080"/>
          <w:sz w:val="16"/>
        </w:rPr>
        <w:t>TrendScale  ·  Brief Template v1.3  ·  trendscale.net</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