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Email &amp; Newsletter</w:t>
      </w:r>
    </w:p>
    <w:p>
      <w:r>
        <w:rPr>
          <w:i/>
        </w:rPr>
        <w:t>Inherits from `00-master-creative-brief-template.md`. Open every email session by pasting Section 1 + Section 4. Fill all 9 sections before producing.</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2 — What This Brief Is For (purpose)</w:t>
      </w:r>
    </w:p>
    <w:p>
      <w:r>
        <w:t>This brief produces every email and newsletter Resonance sends — the editorial newsletter (the slow, considered piece that becomes the anchor asset of the brand) and the transactional emails (acceptance, decline, pre-event, post-event). Its job is to build the long relationship between Resonance and the people who said hell-yes once and might again — and to honor Andrea's voice in a medium where most "newsletters" sound like LinkedIn drafts wearing a Substack costume. It sits across the funnel: post-Awareness (turning IG followers into subscribers), middle-funnel (nurturing people in contemplation toward preparation), post-Event (recapping for attendees and inviting them back), and bottom-funnel (acceptance and decline scripts). The one thing it must do: be the asset Andrea would forward to her friends — every issue, no exceptions.</w:t>
      </w:r>
    </w:p>
    <w:p>
      <w:r>
        <w:rPr>
          <w:b/>
        </w:rPr>
        <w:t>Platform note (per A1 §9):</w:t>
      </w:r>
      <w:r>
        <w:t xml:space="preserve"> The newsletter lives on Beehiiv at launch. The Substack-merge question is deferred. Both options preserve voice; the brief works on either.</w:t>
      </w:r>
    </w:p>
    <w:p>
      <w:r>
        <w:br w:type="page"/>
      </w:r>
    </w:p>
    <w:p>
      <w:pPr>
        <w:pStyle w:val="Heading2"/>
      </w:pPr>
      <w:r>
        <w:t>Section 3 — ICP Target</w:t>
      </w:r>
    </w:p>
    <w:p>
      <w:r>
        <w:t xml:space="preserve">The newsletter targets the umbrella ICP — </w:t>
      </w:r>
      <w:r>
        <w:rPr>
          <w:i/>
        </w:rPr>
        <w:t>the 30-40 year old in Chicago who's out-loud asking why it's so hard to meet a good person</w:t>
      </w:r>
      <w:r>
        <w:t xml:space="preserve"> — but each issue can index harder toward one profile.</w:t>
      </w:r>
    </w:p>
    <w:p>
      <w:pPr>
        <w:pStyle w:val="ListBullet"/>
      </w:pPr>
      <w:r>
        <w:rPr>
          <w:b/>
        </w:rPr>
        <w:t>Profile #1 — Nora (LOCKED)</w:t>
      </w:r>
      <w:r>
        <w:t xml:space="preserve">: arts worker, 28-36, Pilsen / Logan / Wicker Park. </w:t>
      </w:r>
      <w:r>
        <w:rPr>
          <w:i/>
        </w:rPr>
        <w:t>Audience State: contemplation edging into preparation.</w:t>
      </w:r>
      <w:r>
        <w:t xml:space="preserve"> Bridge Message: </w:t>
      </w:r>
      <w:r>
        <w:rPr>
          <w:i/>
        </w:rPr>
        <w:t>"A Chicago dance room, in daylight, sober, where you meet someone the way you meet a song — your body knows before your mind does."</w:t>
      </w:r>
    </w:p>
    <w:p>
      <w:pPr>
        <w:pStyle w:val="ListBullet"/>
      </w:pPr>
      <w:r>
        <w:rPr>
          <w:b/>
        </w:rPr>
        <w:t>Profile #2 — Imani (PROPOSED)</w:t>
      </w:r>
      <w:r>
        <w:t xml:space="preserve">: helping professional, 32-38, Logan Square / Bucktown. </w:t>
      </w:r>
      <w:r>
        <w:rPr>
          <w:i/>
        </w:rPr>
        <w:t>Audience State: contemplation.</w:t>
      </w:r>
      <w:r>
        <w:t xml:space="preserve"> Bridge Message: </w:t>
      </w:r>
      <w:r>
        <w:rPr>
          <w:i/>
        </w:rPr>
        <w:t>"A daytime room, in Chicago, where the music does the emotional labor — so you don't have to."</w:t>
      </w:r>
    </w:p>
    <w:p>
      <w:pPr>
        <w:pStyle w:val="ListBullet"/>
      </w:pPr>
      <w:r>
        <w:rPr>
          <w:b/>
        </w:rPr>
        <w:t>Profile #3 — Marcus (PROPOSED)</w:t>
      </w:r>
      <w:r>
        <w:t xml:space="preserve">: the quiet man, 28-36, Bronzeville / South Loop. </w:t>
      </w:r>
      <w:r>
        <w:rPr>
          <w:i/>
        </w:rPr>
        <w:t>Audience State: pre-contemplation edging into contemplation.</w:t>
      </w:r>
      <w:r>
        <w:t xml:space="preserve"> Bridge Message: </w:t>
      </w:r>
      <w:r>
        <w:rPr>
          <w:i/>
        </w:rPr>
        <w:t>"A daytime room. Sober. The music is good. We curate the floor so you can show up as yourself — not as someone hunting, and not as someone hunted."</w:t>
      </w:r>
    </w:p>
    <w:p>
      <w:r>
        <w:t xml:space="preserve">For most editorial issues, target </w:t>
      </w:r>
      <w:r>
        <w:rPr>
          <w:b/>
        </w:rPr>
        <w:t>the umbrella</w:t>
      </w:r>
      <w:r>
        <w:t xml:space="preserve"> and let the language work on all three. For specific issues — a recap, a story-led piece, a behind-the-DJ-booth piece — index harder toward one profile and use her language register.</w:t>
      </w:r>
    </w:p>
    <w:p>
      <w:r>
        <w:t xml:space="preserve">For transactional emails (acceptance, decline, pre-event, post-event), target </w:t>
      </w:r>
      <w:r>
        <w:rPr>
          <w:b/>
        </w:rPr>
        <w:t>the specific person</w:t>
      </w:r>
      <w:r>
        <w:t xml:space="preserve"> receiving it — name them, write to them, never blast.</w:t>
      </w:r>
    </w:p>
    <w:p>
      <w:r>
        <w:br w:type="page"/>
      </w:r>
    </w:p>
    <w:p>
      <w:pPr>
        <w:pStyle w:val="Heading2"/>
      </w:pPr>
      <w:r>
        <w:t>Section 4 — Voice Rules (compressed)</w:t>
      </w:r>
    </w:p>
    <w:p>
      <w:pPr>
        <w:spacing w:before="40" w:after="40"/>
        <w:ind w:left="576"/>
      </w:pPr>
      <w:r>
        <w:rPr>
          <w:i/>
          <w:color w:val="555555"/>
        </w:rPr>
        <w:t xml:space="preserve">Warm, direct, confident, never preachy, never corporate. Show &gt; tell at sentence level. Heart-encounter language as headline, body-first only as explanation. Em-dashes ≤2 per piece. No "Here's what/why/how" openers. Name the enemy by name (apps / bars at 11pm / speed-dating-as-party) only when it clarifies. Never preach sobriety. "Community" only when earned. Voice test: would Andrea say this to a friend over coffee? Subject lines specifically: </w:t>
      </w:r>
      <w:r>
        <w:rPr>
          <w:i/>
          <w:color w:val="555555"/>
        </w:rPr>
        <w:t>would Andrea text this to a friend?</w:t>
      </w:r>
      <w:r>
        <w:rPr>
          <w:i/>
          <w:color w:val="555555"/>
        </w:rPr>
        <w:t xml:space="preserve"> If the subject reads like marketing, rewrite.</w:t>
      </w:r>
    </w:p>
    <w:p>
      <w:r>
        <w:rPr>
          <w:b/>
        </w:rPr>
        <w:t>Patterns this asset leans on most</w:t>
      </w:r>
      <w:r>
        <w:t>:</w:t>
      </w:r>
    </w:p>
    <w:p>
      <w:pPr>
        <w:pStyle w:val="ListNumber"/>
      </w:pPr>
      <w:r>
        <w:rPr>
          <w:b/>
        </w:rPr>
        <w:t>Out-loud-asking</w:t>
      </w:r>
      <w:r>
        <w:t xml:space="preserve"> for editorial subject lines (Pattern 4 in voice doc).</w:t>
      </w:r>
    </w:p>
    <w:p>
      <w:pPr>
        <w:pStyle w:val="ListNumber"/>
      </w:pPr>
      <w:r>
        <w:rPr>
          <w:b/>
        </w:rPr>
        <w:t>Anaphora cadence</w:t>
      </w:r>
      <w:r>
        <w:t xml:space="preserve"> for the body of editorial issues (Pattern 1 — the You've-tried beat sequence).</w:t>
      </w:r>
    </w:p>
    <w:p>
      <w:pPr>
        <w:pStyle w:val="ListNumber"/>
      </w:pPr>
      <w:r>
        <w:rPr>
          <w:b/>
        </w:rPr>
        <w:t>Mechanic-as-sentence</w:t>
      </w:r>
      <w:r>
        <w:t xml:space="preserve"> for the pre-event "what to expect" emails (Pattern 6).</w:t>
      </w:r>
    </w:p>
    <w:p>
      <w:pPr>
        <w:pStyle w:val="ListNumber"/>
      </w:pPr>
      <w:r>
        <w:rPr>
          <w:b/>
        </w:rPr>
        <w:t>Hell-yes filter</w:t>
      </w:r>
      <w:r>
        <w:t xml:space="preserve"> for acceptance and decline scripts (Pattern 5).</w:t>
      </w:r>
    </w:p>
    <w:p>
      <w:pPr>
        <w:pStyle w:val="ListNumber"/>
      </w:pPr>
      <w:r>
        <w:rPr>
          <w:b/>
        </w:rPr>
        <w:t>Crystallized phrases</w:t>
      </w:r>
      <w:r>
        <w:t xml:space="preserve"> for the closing line of every email (Pattern 3 — </w:t>
      </w:r>
      <w:r>
        <w:rPr>
          <w:i/>
        </w:rPr>
        <w:t>"Daytime. Sober. June. You're invited."</w:t>
      </w:r>
      <w:r>
        <w:t>).</w:t>
      </w:r>
    </w:p>
    <w:p>
      <w:r>
        <w:br w:type="page"/>
      </w:r>
    </w:p>
    <w:p>
      <w:pPr>
        <w:pStyle w:val="Heading2"/>
      </w:pPr>
      <w:r>
        <w:t>Section 5 — Format Spec</w:t>
      </w:r>
    </w:p>
    <w:p>
      <w:pPr>
        <w:pStyle w:val="Heading3"/>
      </w:pPr>
      <w:r>
        <w:t>Editorial Newsletter (the anchor asset)</w:t>
      </w:r>
    </w:p>
    <w:p>
      <w:pPr>
        <w:pStyle w:val="ListBullet"/>
      </w:pPr>
      <w:r>
        <w:rPr>
          <w:b/>
        </w:rPr>
        <w:t>Cadence</w:t>
      </w:r>
      <w:r>
        <w:t>: 1 issue every 2 weeks at launch. Slow on purpose. Stories over metrics.</w:t>
      </w:r>
    </w:p>
    <w:p>
      <w:pPr>
        <w:pStyle w:val="ListBullet"/>
      </w:pPr>
      <w:r>
        <w:rPr>
          <w:b/>
        </w:rPr>
        <w:t>Length</w:t>
      </w:r>
      <w:r>
        <w:t>: 600–900 words in the body. One issue per piece — never a "5 things" roundup.</w:t>
      </w:r>
    </w:p>
    <w:p>
      <w:pPr>
        <w:pStyle w:val="ListBullet"/>
      </w:pPr>
      <w:r>
        <w:rPr>
          <w:b/>
        </w:rPr>
        <w:t>Subject line</w:t>
      </w:r>
      <w:r>
        <w:t>: 35–50 characters (Gmail mobile truncates around 40 on small screens; aim 38–42 for the inbox preview).</w:t>
      </w:r>
    </w:p>
    <w:p>
      <w:pPr>
        <w:pStyle w:val="ListBullet"/>
      </w:pPr>
      <w:r>
        <w:rPr>
          <w:b/>
        </w:rPr>
        <w:t>Preheader</w:t>
      </w:r>
      <w:r>
        <w:t xml:space="preserve">: 60–90 characters. The preheader is a </w:t>
      </w:r>
      <w:r>
        <w:rPr>
          <w:i/>
        </w:rPr>
        <w:t>second hook</w:t>
      </w:r>
      <w:r>
        <w:t>, not a tagline. It extends or sharpens the subject — never paraphrases it.</w:t>
      </w:r>
    </w:p>
    <w:p>
      <w:pPr>
        <w:pStyle w:val="ListBullet"/>
      </w:pPr>
      <w:r>
        <w:rPr>
          <w:b/>
        </w:rPr>
        <w:t>Sender name</w:t>
      </w:r>
      <w:r>
        <w:t xml:space="preserve">: </w:t>
      </w:r>
      <w:r>
        <w:rPr>
          <w:i/>
        </w:rPr>
        <w:t>Andrea, Resonance</w:t>
      </w:r>
      <w:r>
        <w:t xml:space="preserve"> (not </w:t>
      </w:r>
      <w:r>
        <w:rPr>
          <w:i/>
        </w:rPr>
        <w:t>Resonance Newsletter</w:t>
      </w:r>
      <w:r>
        <w:t xml:space="preserve">, not </w:t>
      </w:r>
      <w:r>
        <w:rPr>
          <w:i/>
        </w:rPr>
        <w:t>no-reply@</w:t>
      </w:r>
      <w:r>
        <w:t>).</w:t>
      </w:r>
    </w:p>
    <w:p>
      <w:pPr>
        <w:pStyle w:val="ListBullet"/>
      </w:pPr>
      <w:r>
        <w:rPr>
          <w:b/>
        </w:rPr>
        <w:t>Reply-to</w:t>
      </w:r>
      <w:r>
        <w:t>: a real address Andrea reads. Replies are part of the relationship.</w:t>
      </w:r>
    </w:p>
    <w:p>
      <w:pPr>
        <w:pStyle w:val="ListBullet"/>
      </w:pPr>
      <w:r>
        <w:rPr>
          <w:b/>
        </w:rPr>
        <w:t>Structure</w:t>
      </w:r>
      <w:r>
        <w:t>: opener (a moment, a question, a scene) → middle (the story or thought, with one specific image) → close (a single sentence that lands). One CTA only — and only when it earns the placement.</w:t>
      </w:r>
    </w:p>
    <w:p>
      <w:pPr>
        <w:pStyle w:val="ListBullet"/>
      </w:pPr>
      <w:r>
        <w:rPr>
          <w:b/>
        </w:rPr>
        <w:t>CTAs allowed</w:t>
      </w:r>
      <w:r>
        <w:t xml:space="preserve">: </w:t>
      </w:r>
      <w:r>
        <w:rPr>
          <w:i/>
        </w:rPr>
        <w:t>Apply for Event #N</w:t>
      </w:r>
      <w:r>
        <w:t xml:space="preserve"> (when applications are open), </w:t>
      </w:r>
      <w:r>
        <w:rPr>
          <w:i/>
        </w:rPr>
        <w:t>Read the manifesto</w:t>
      </w:r>
      <w:r>
        <w:t xml:space="preserve"> (always-link), </w:t>
      </w:r>
      <w:r>
        <w:rPr>
          <w:i/>
        </w:rPr>
        <w:t>Reply and tell me</w:t>
      </w:r>
      <w:r>
        <w:t xml:space="preserve"> (relationship CTA — under-used, high-signal). Forbidden: "click here," "subscribe," "share with a friend who needs this."</w:t>
      </w:r>
    </w:p>
    <w:p>
      <w:pPr>
        <w:pStyle w:val="ListBullet"/>
      </w:pPr>
      <w:r>
        <w:rPr>
          <w:b/>
        </w:rPr>
        <w:t>Photography</w:t>
      </w:r>
      <w:r>
        <w:t>: one inline photograph per issue, maximum. Daytime, real, captioned in Slate-500 12pt label-caps.</w:t>
      </w:r>
    </w:p>
    <w:p>
      <w:pPr>
        <w:pStyle w:val="ListBullet"/>
      </w:pPr>
      <w:r>
        <w:rPr>
          <w:b/>
        </w:rPr>
        <w:t>Footer</w:t>
      </w:r>
      <w:r>
        <w:t>: physical mailing address (legal requirement), unsubscribe link (legal requirement), small Resonance wordmark. Nothing else.</w:t>
      </w:r>
    </w:p>
    <w:p>
      <w:pPr>
        <w:pStyle w:val="Heading3"/>
      </w:pPr>
      <w:r>
        <w:t>Transactional Emails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tcPr>
          <w:p>
            <w:pPr/>
            <w:r>
              <w:rPr>
                <w:b/>
              </w:rPr>
            </w:r>
            <w:r>
              <w:rPr>
                <w:b/>
              </w:rPr>
              <w:t>Email type</w:t>
            </w:r>
          </w:p>
        </w:tc>
        <w:tc>
          <w:tcPr>
            <w:tcW w:type="dxa" w:w="2340"/>
          </w:tcPr>
          <w:p>
            <w:pPr/>
            <w:r>
              <w:rPr>
                <w:b/>
              </w:rPr>
            </w:r>
            <w:r>
              <w:rPr>
                <w:b/>
              </w:rPr>
              <w:t>Length</w:t>
            </w:r>
          </w:p>
        </w:tc>
        <w:tc>
          <w:tcPr>
            <w:tcW w:type="dxa" w:w="2340"/>
          </w:tcPr>
          <w:p>
            <w:pPr/>
            <w:r>
              <w:rPr>
                <w:b/>
              </w:rPr>
            </w:r>
            <w:r>
              <w:rPr>
                <w:b/>
              </w:rPr>
              <w:t>Subject pattern</w:t>
            </w:r>
          </w:p>
        </w:tc>
        <w:tc>
          <w:tcPr>
            <w:tcW w:type="dxa" w:w="2340"/>
          </w:tcPr>
          <w:p>
            <w:pPr/>
            <w:r>
              <w:rPr>
                <w:b/>
              </w:rPr>
            </w:r>
            <w:r>
              <w:rPr>
                <w:b/>
              </w:rPr>
              <w:t>Personalization</w:t>
            </w:r>
          </w:p>
        </w:tc>
      </w:tr>
      <w:tr>
        <w:tc>
          <w:tcPr>
            <w:tcW w:type="dxa" w:w="2340"/>
          </w:tcPr>
          <w:p>
            <w:pPr/>
            <w:r/>
            <w:r>
              <w:t>Hell-yes acceptance</w:t>
            </w:r>
          </w:p>
        </w:tc>
        <w:tc>
          <w:tcPr>
            <w:tcW w:type="dxa" w:w="2340"/>
          </w:tcPr>
          <w:p>
            <w:pPr/>
            <w:r/>
            <w:r>
              <w:t>80–150 words</w:t>
            </w:r>
          </w:p>
        </w:tc>
        <w:tc>
          <w:tcPr>
            <w:tcW w:type="dxa" w:w="2340"/>
          </w:tcPr>
          <w:p>
            <w:pPr/>
            <w:r/>
            <w:r>
              <w:rPr>
                <w:i/>
              </w:rPr>
              <w:t>"You're in."</w:t>
            </w:r>
            <w:r>
              <w:t xml:space="preserve"> / </w:t>
            </w:r>
            <w:r>
              <w:rPr>
                <w:i/>
              </w:rPr>
              <w:t>"Saturday June 14, 2pm — your spot is locked."</w:t>
            </w:r>
          </w:p>
        </w:tc>
        <w:tc>
          <w:tcPr>
            <w:tcW w:type="dxa" w:w="2340"/>
          </w:tcPr>
          <w:p>
            <w:pPr/>
            <w:r/>
            <w:r>
              <w:t>First name; reference one detail from their application answer</w:t>
            </w:r>
          </w:p>
        </w:tc>
      </w:tr>
      <w:tr>
        <w:tc>
          <w:tcPr>
            <w:tcW w:type="dxa" w:w="2340"/>
          </w:tcPr>
          <w:p>
            <w:pPr/>
            <w:r/>
            <w:r>
              <w:t>Decline (this round)</w:t>
            </w:r>
          </w:p>
        </w:tc>
        <w:tc>
          <w:tcPr>
            <w:tcW w:type="dxa" w:w="2340"/>
          </w:tcPr>
          <w:p>
            <w:pPr/>
            <w:r/>
            <w:r>
              <w:t>80–120 words</w:t>
            </w:r>
          </w:p>
        </w:tc>
        <w:tc>
          <w:tcPr>
            <w:tcW w:type="dxa" w:w="2340"/>
          </w:tcPr>
          <w:p>
            <w:pPr/>
            <w:r/>
            <w:r>
              <w:rPr>
                <w:i/>
              </w:rPr>
              <w:t>"Not this round."</w:t>
            </w:r>
            <w:r>
              <w:t xml:space="preserve"> / </w:t>
            </w:r>
            <w:r>
              <w:rPr>
                <w:i/>
              </w:rPr>
              <w:t>"From Andrea, on Event #N."</w:t>
            </w:r>
          </w:p>
        </w:tc>
        <w:tc>
          <w:tcPr>
            <w:tcW w:type="dxa" w:w="2340"/>
          </w:tcPr>
          <w:p>
            <w:pPr/>
            <w:r/>
            <w:r>
              <w:t>First name; specific reason for the decline (warm, not generic)</w:t>
            </w:r>
          </w:p>
        </w:tc>
      </w:tr>
      <w:tr>
        <w:tc>
          <w:tcPr>
            <w:tcW w:type="dxa" w:w="2340"/>
          </w:tcPr>
          <w:p>
            <w:pPr/>
            <w:r/>
            <w:r>
              <w:t>Pre-event T-7</w:t>
            </w:r>
          </w:p>
        </w:tc>
        <w:tc>
          <w:tcPr>
            <w:tcW w:type="dxa" w:w="2340"/>
          </w:tcPr>
          <w:p>
            <w:pPr/>
            <w:r/>
            <w:r>
              <w:t>120–180 words</w:t>
            </w:r>
          </w:p>
        </w:tc>
        <w:tc>
          <w:tcPr>
            <w:tcW w:type="dxa" w:w="2340"/>
          </w:tcPr>
          <w:p>
            <w:pPr/>
            <w:r/>
            <w:r>
              <w:rPr>
                <w:i/>
              </w:rPr>
              <w:t>"Saturday. Here's what the room looks like."</w:t>
            </w:r>
            <w:r>
              <w:t xml:space="preserve"> / </w:t>
            </w:r>
            <w:r>
              <w:rPr>
                <w:i/>
              </w:rPr>
              <w:t>"In one week."</w:t>
            </w:r>
          </w:p>
        </w:tc>
        <w:tc>
          <w:tcPr>
            <w:tcW w:type="dxa" w:w="2340"/>
          </w:tcPr>
          <w:p>
            <w:pPr/>
            <w:r/>
            <w:r>
              <w:t>First name; the address (released only at this stage)</w:t>
            </w:r>
          </w:p>
        </w:tc>
      </w:tr>
      <w:tr>
        <w:tc>
          <w:tcPr>
            <w:tcW w:type="dxa" w:w="2340"/>
          </w:tcPr>
          <w:p>
            <w:pPr/>
            <w:r/>
            <w:r>
              <w:t>Pre-event T-1</w:t>
            </w:r>
          </w:p>
        </w:tc>
        <w:tc>
          <w:tcPr>
            <w:tcW w:type="dxa" w:w="2340"/>
          </w:tcPr>
          <w:p>
            <w:pPr/>
            <w:r/>
            <w:r>
              <w:t>80–120 words</w:t>
            </w:r>
          </w:p>
        </w:tc>
        <w:tc>
          <w:tcPr>
            <w:tcW w:type="dxa" w:w="2340"/>
          </w:tcPr>
          <w:p>
            <w:pPr/>
            <w:r/>
            <w:r>
              <w:rPr>
                <w:i/>
              </w:rPr>
              <w:t>"Tomorrow. Two notes."</w:t>
            </w:r>
          </w:p>
        </w:tc>
        <w:tc>
          <w:tcPr>
            <w:tcW w:type="dxa" w:w="2340"/>
          </w:tcPr>
          <w:p>
            <w:pPr/>
            <w:r/>
            <w:r>
              <w:t>First name; the practical (parking / start time / phones-in-basket reminder)</w:t>
            </w:r>
          </w:p>
        </w:tc>
      </w:tr>
      <w:tr>
        <w:tc>
          <w:tcPr>
            <w:tcW w:type="dxa" w:w="2340"/>
          </w:tcPr>
          <w:p>
            <w:pPr/>
            <w:r/>
            <w:r>
              <w:t>Post-event T+1</w:t>
            </w:r>
          </w:p>
        </w:tc>
        <w:tc>
          <w:tcPr>
            <w:tcW w:type="dxa" w:w="2340"/>
          </w:tcPr>
          <w:p>
            <w:pPr/>
            <w:r/>
            <w:r>
              <w:t>100–180 words</w:t>
            </w:r>
          </w:p>
        </w:tc>
        <w:tc>
          <w:tcPr>
            <w:tcW w:type="dxa" w:w="2340"/>
          </w:tcPr>
          <w:p>
            <w:pPr/>
            <w:r/>
            <w:r>
              <w:rPr>
                <w:i/>
              </w:rPr>
              <w:t>"Yesterday. Thank you for being in the room."</w:t>
            </w:r>
          </w:p>
        </w:tc>
        <w:tc>
          <w:tcPr>
            <w:tcW w:type="dxa" w:w="2340"/>
          </w:tcPr>
          <w:p>
            <w:pPr/>
            <w:r/>
            <w:r>
              <w:t>First name; one line referencing the actual event</w:t>
            </w:r>
          </w:p>
        </w:tc>
      </w:tr>
      <w:tr>
        <w:tc>
          <w:tcPr>
            <w:tcW w:type="dxa" w:w="2340"/>
          </w:tcPr>
          <w:p>
            <w:pPr/>
            <w:r/>
            <w:r>
              <w:t>Post-event T+7 (story-capture invite)</w:t>
            </w:r>
          </w:p>
        </w:tc>
        <w:tc>
          <w:tcPr>
            <w:tcW w:type="dxa" w:w="2340"/>
          </w:tcPr>
          <w:p>
            <w:pPr/>
            <w:r/>
            <w:r>
              <w:t>120–180 words</w:t>
            </w:r>
          </w:p>
        </w:tc>
        <w:tc>
          <w:tcPr>
            <w:tcW w:type="dxa" w:w="2340"/>
          </w:tcPr>
          <w:p>
            <w:pPr/>
            <w:r/>
            <w:r>
              <w:rPr>
                <w:i/>
              </w:rPr>
              <w:t>"A small ask, if it's a yes."</w:t>
            </w:r>
          </w:p>
        </w:tc>
        <w:tc>
          <w:tcPr>
            <w:tcW w:type="dxa" w:w="2340"/>
          </w:tcPr>
          <w:p>
            <w:pPr/>
            <w:r/>
            <w:r>
              <w:t>First name; light, no pressure</w:t>
            </w:r>
          </w:p>
        </w:tc>
      </w:tr>
    </w:tbl>
    <w:p/>
    <w:p>
      <w:pPr>
        <w:pStyle w:val="Heading3"/>
      </w:pPr>
      <w:r>
        <w:t>Banned at the format level</w:t>
      </w:r>
    </w:p>
    <w:p>
      <w:pPr>
        <w:pStyle w:val="ListBullet"/>
      </w:pPr>
      <w:r>
        <w:t>No HTML email templates with header banners and footer columns. Every email is a plain-text-feeling letter from Andrea, with at most one image.</w:t>
      </w:r>
    </w:p>
    <w:p>
      <w:pPr>
        <w:pStyle w:val="ListBullet"/>
      </w:pPr>
      <w:r>
        <w:t>No "VIEW IN BROWSER" link at the top.</w:t>
      </w:r>
    </w:p>
    <w:p>
      <w:pPr>
        <w:pStyle w:val="ListBullet"/>
      </w:pPr>
      <w:r>
        <w:t>No social media icon row in the footer.</w:t>
      </w:r>
    </w:p>
    <w:p>
      <w:pPr>
        <w:pStyle w:val="ListBullet"/>
      </w:pPr>
      <w:r>
        <w:t>No "Forward to a friend" CTA. The forward happens because the email earned it.</w:t>
      </w:r>
    </w:p>
    <w:p>
      <w:r>
        <w:br w:type="page"/>
      </w:r>
    </w:p>
    <w:p>
      <w:pPr>
        <w:pStyle w:val="Heading2"/>
      </w:pPr>
      <w:r>
        <w:t>Section 6 — Hook &amp; Structure Patterns</w:t>
      </w:r>
    </w:p>
    <w:p>
      <w:pPr>
        <w:pStyle w:val="Heading3"/>
      </w:pPr>
      <w:r>
        <w:t>Pattern 1: Out-Loud-Asking Subject Lines (mandatory for editorial)</w:t>
      </w:r>
    </w:p>
    <w:p>
      <w:r>
        <w:t>The subject line uses the actual phrasing the ICP would say to a friend — never a marketing phrase.</w:t>
      </w:r>
    </w:p>
    <w:p>
      <w:pPr>
        <w:spacing w:before="40" w:after="40"/>
        <w:ind w:left="576"/>
      </w:pPr>
      <w:r>
        <w:rPr>
          <w:b/>
          <w:i/>
          <w:color w:val="555555"/>
        </w:rPr>
        <w:t>GOOD:</w:t>
      </w:r>
      <w:r>
        <w:rPr>
          <w:i/>
          <w:color w:val="555555"/>
        </w:rPr>
        <w:t xml:space="preserve"> </w:t>
      </w:r>
      <w:r>
        <w:rPr>
          <w:i/>
          <w:color w:val="555555"/>
        </w:rPr>
        <w:t>"You said it again, didn't you. 'Maybe I'll just stay single.'"</w:t>
      </w:r>
    </w:p>
    <w:p>
      <w:pPr>
        <w:spacing w:before="40" w:after="40"/>
        <w:ind w:left="576"/>
      </w:pPr>
      <w:r>
        <w:rPr>
          <w:b/>
          <w:i/>
          <w:color w:val="555555"/>
        </w:rPr>
        <w:t>GOOD:</w:t>
      </w:r>
      <w:r>
        <w:rPr>
          <w:i/>
          <w:color w:val="555555"/>
        </w:rPr>
        <w:t xml:space="preserve"> </w:t>
      </w:r>
      <w:r>
        <w:rPr>
          <w:i/>
          <w:color w:val="555555"/>
        </w:rPr>
        <w:t>"Where are all the good guys? Real question."</w:t>
      </w:r>
    </w:p>
    <w:p>
      <w:pPr>
        <w:spacing w:before="40" w:after="40"/>
        <w:ind w:left="576"/>
      </w:pPr>
      <w:r>
        <w:rPr>
          <w:b/>
          <w:i/>
          <w:color w:val="555555"/>
        </w:rPr>
        <w:t>GOOD:</w:t>
      </w:r>
      <w:r>
        <w:rPr>
          <w:i/>
          <w:color w:val="555555"/>
        </w:rPr>
        <w:t xml:space="preserve"> </w:t>
      </w:r>
      <w:r>
        <w:rPr>
          <w:i/>
          <w:color w:val="555555"/>
        </w:rPr>
        <w:t>"The room is small on purpose."</w:t>
      </w:r>
    </w:p>
    <w:p>
      <w:pPr>
        <w:spacing w:before="40" w:after="40"/>
        <w:ind w:left="576"/>
      </w:pPr>
      <w:r>
        <w:rPr>
          <w:b/>
          <w:i/>
          <w:color w:val="555555"/>
        </w:rPr>
        <w:t>BAD:</w:t>
      </w:r>
      <w:r>
        <w:rPr>
          <w:i/>
          <w:color w:val="555555"/>
        </w:rPr>
        <w:t xml:space="preserve"> </w:t>
      </w:r>
      <w:r>
        <w:rPr>
          <w:i/>
          <w:color w:val="555555"/>
        </w:rPr>
        <w:t>"Discover Authentic Connection at Resonance"</w:t>
      </w:r>
      <w:r>
        <w:rPr>
          <w:i/>
          <w:color w:val="555555"/>
        </w:rPr>
        <w:t xml:space="preserve"> (Title-case marketing. Will be deleted from the preview.)</w:t>
      </w:r>
    </w:p>
    <w:p>
      <w:pPr>
        <w:spacing w:before="40" w:after="40"/>
        <w:ind w:left="576"/>
      </w:pPr>
      <w:r>
        <w:rPr>
          <w:b/>
          <w:i/>
          <w:color w:val="555555"/>
        </w:rPr>
        <w:t>BAD:</w:t>
      </w:r>
      <w:r>
        <w:rPr>
          <w:i/>
          <w:color w:val="555555"/>
        </w:rPr>
        <w:t xml:space="preserve"> </w:t>
      </w:r>
      <w:r>
        <w:rPr>
          <w:i/>
          <w:color w:val="555555"/>
        </w:rPr>
        <w:t>"In a world of endless options..."</w:t>
      </w:r>
      <w:r>
        <w:rPr>
          <w:i/>
          <w:color w:val="555555"/>
        </w:rPr>
        <w:t xml:space="preserve"> (TED-talk opener. Nobody's friend talks like this.)</w:t>
      </w:r>
    </w:p>
    <w:p>
      <w:pPr>
        <w:pStyle w:val="Heading3"/>
      </w:pPr>
      <w:r>
        <w:t>Pattern 2: Anaphora Cadence In The Body (for editorial)</w:t>
      </w:r>
    </w:p>
    <w:p>
      <w:r>
        <w:t>Editorial issues that do recognition work lead with three or four short sentences sharing an opening phrase, then land with one diagnostic sentence.</w:t>
      </w:r>
    </w:p>
    <w:p>
      <w:pPr>
        <w:spacing w:before="40" w:after="40"/>
        <w:ind w:left="576"/>
      </w:pPr>
      <w:r>
        <w:rPr>
          <w:b/>
          <w:i/>
          <w:color w:val="555555"/>
        </w:rPr>
        <w:t>GOOD:</w:t>
      </w:r>
      <w:r>
        <w:rPr>
          <w:i/>
          <w:color w:val="555555"/>
        </w:rPr>
        <w:t xml:space="preserve"> </w:t>
      </w:r>
      <w:r>
        <w:rPr>
          <w:i/>
          <w:color w:val="555555"/>
        </w:rPr>
        <w:t>"You've watched your friends meet people. You've watched your friends meet people on apps you've tried. You've watched your friends meet people on apps you've tried and met no one on. The apps aren't the variable. The room is."</w:t>
      </w:r>
    </w:p>
    <w:p>
      <w:pPr>
        <w:spacing w:before="40" w:after="40"/>
        <w:ind w:left="576"/>
      </w:pPr>
      <w:r>
        <w:rPr>
          <w:b/>
          <w:i/>
          <w:color w:val="555555"/>
        </w:rPr>
        <w:t>BAD:</w:t>
      </w:r>
      <w:r>
        <w:rPr>
          <w:i/>
          <w:color w:val="555555"/>
        </w:rPr>
        <w:t xml:space="preserve"> </w:t>
      </w:r>
      <w:r>
        <w:rPr>
          <w:i/>
          <w:color w:val="555555"/>
        </w:rPr>
        <w:t>"You've tried apps. You've tried bars. You've tried meetups. So have we, and that's why we built Resonance."</w:t>
      </w:r>
      <w:r>
        <w:rPr>
          <w:i/>
          <w:color w:val="555555"/>
        </w:rPr>
        <w:t xml:space="preserve"> (Generic list + smug landing. Anaphora needs a sharp landing, not a we're-just-like-you move.)</w:t>
      </w:r>
    </w:p>
    <w:p>
      <w:pPr>
        <w:pStyle w:val="Heading3"/>
      </w:pPr>
      <w:r>
        <w:t>Pattern 3: One Beat Per Issue (the discipline rule)</w:t>
      </w:r>
    </w:p>
    <w:p>
      <w:r>
        <w:t xml:space="preserve">An editorial newsletter does </w:t>
      </w:r>
      <w:r>
        <w:rPr>
          <w:b/>
        </w:rPr>
        <w:t>one</w:t>
      </w:r>
      <w:r>
        <w:t xml:space="preserve"> thing per issue. It's a story, OR a thought, OR a scene, OR an announcement — never four. The beat lands in the close, in one sentence.</w:t>
      </w:r>
    </w:p>
    <w:p>
      <w:pPr>
        <w:spacing w:before="40" w:after="40"/>
        <w:ind w:left="576"/>
      </w:pPr>
      <w:r>
        <w:rPr>
          <w:b/>
          <w:i/>
          <w:color w:val="555555"/>
        </w:rPr>
        <w:t>GOOD (close):</w:t>
      </w:r>
      <w:r>
        <w:rPr>
          <w:i/>
          <w:color w:val="555555"/>
        </w:rPr>
        <w:t xml:space="preserve"> </w:t>
      </w:r>
      <w:r>
        <w:rPr>
          <w:i/>
          <w:color w:val="555555"/>
        </w:rPr>
        <w:t>"That's why I'm doing this. The next event is June 14. If you're a hell-yes, the application is below."</w:t>
      </w:r>
    </w:p>
    <w:p>
      <w:pPr>
        <w:spacing w:before="40" w:after="40"/>
        <w:ind w:left="576"/>
      </w:pPr>
      <w:r>
        <w:rPr>
          <w:b/>
          <w:i/>
          <w:color w:val="555555"/>
        </w:rPr>
        <w:t>BAD (close):</w:t>
      </w:r>
      <w:r>
        <w:rPr>
          <w:i/>
          <w:color w:val="555555"/>
        </w:rPr>
        <w:t xml:space="preserve"> </w:t>
      </w:r>
      <w:r>
        <w:rPr>
          <w:i/>
          <w:color w:val="555555"/>
        </w:rPr>
        <w:t>"Save the date! Make sure to apply, follow us on IG, share with a friend, subscribe to the podcast, and check out our partner brands!"</w:t>
      </w:r>
      <w:r>
        <w:rPr>
          <w:i/>
          <w:color w:val="555555"/>
        </w:rPr>
        <w:t xml:space="preserve"> (Five CTAs. None will be acted on.)</w:t>
      </w:r>
    </w:p>
    <w:p>
      <w:pPr>
        <w:pStyle w:val="Heading3"/>
      </w:pPr>
      <w:r>
        <w:t>Pattern 4: The Hell-Yes Filter In Acceptance/Decline (mandatory)</w:t>
      </w:r>
    </w:p>
    <w:p>
      <w:r>
        <w:t>The acceptance email confirms the yes and reinforces the filter. The decline email is warm, specific, and never insults the reader's worth.</w:t>
      </w:r>
    </w:p>
    <w:p>
      <w:pPr>
        <w:spacing w:before="40" w:after="40"/>
        <w:ind w:left="576"/>
      </w:pPr>
      <w:r>
        <w:rPr>
          <w:b/>
          <w:i/>
          <w:color w:val="555555"/>
        </w:rPr>
        <w:t>GOOD (acceptance, for Imani):</w:t>
      </w:r>
      <w:r>
        <w:rPr>
          <w:i/>
          <w:color w:val="555555"/>
        </w:rPr>
        <w:t xml:space="preserve"> </w:t>
      </w:r>
      <w:r>
        <w:rPr>
          <w:i/>
          <w:color w:val="555555"/>
        </w:rPr>
        <w:t>"You're in. The address goes out Wednesday before. If on Saturday morning you're a maybe, please give your spot to someone on the waitlist — the room is built on full-yes attendance. — Andrea"</w:t>
      </w:r>
    </w:p>
    <w:p>
      <w:pPr>
        <w:spacing w:before="40" w:after="40"/>
        <w:ind w:left="576"/>
      </w:pPr>
      <w:r>
        <w:rPr>
          <w:b/>
          <w:i/>
          <w:color w:val="555555"/>
        </w:rPr>
        <w:t>GOOD (decline, for Marcus):</w:t>
      </w:r>
      <w:r>
        <w:rPr>
          <w:i/>
          <w:color w:val="555555"/>
        </w:rPr>
        <w:t xml:space="preserve"> </w:t>
      </w:r>
      <w:r>
        <w:rPr>
          <w:i/>
          <w:color w:val="555555"/>
        </w:rPr>
        <w:t>"Marcus — I'm passing on this one. The room I'm building this June is narrow on purpose. Your application told me you're a real one, and I'd love to have you on the warm-referral list for Event #2. — Andrea"</w:t>
      </w:r>
    </w:p>
    <w:p>
      <w:pPr>
        <w:spacing w:before="40" w:after="40"/>
        <w:ind w:left="576"/>
      </w:pPr>
      <w:r>
        <w:rPr>
          <w:b/>
          <w:i/>
          <w:color w:val="555555"/>
        </w:rPr>
        <w:t>BAD (decline):</w:t>
      </w:r>
      <w:r>
        <w:rPr>
          <w:i/>
          <w:color w:val="555555"/>
        </w:rPr>
        <w:t xml:space="preserve"> </w:t>
      </w:r>
      <w:r>
        <w:rPr>
          <w:i/>
          <w:color w:val="555555"/>
        </w:rPr>
        <w:t>"Unfortunately, you weren't selected for this event. Best of luck on your dating journey!"</w:t>
      </w:r>
      <w:r>
        <w:rPr>
          <w:i/>
          <w:color w:val="555555"/>
        </w:rPr>
        <w:t xml:space="preserve"> (Stock blessing. Closes the door without explaining anything.)</w:t>
      </w:r>
    </w:p>
    <w:p>
      <w:pPr>
        <w:pStyle w:val="Heading3"/>
      </w:pPr>
      <w:r>
        <w:t>Pattern 5: Mechanic-as-Sentence In Pre-Event (mandatory)</w:t>
      </w:r>
    </w:p>
    <w:p>
      <w:r>
        <w:t>The pre-event T-7 email explains daytime, sober, curated, phones-off as full sentences with stakes — never as a feature list.</w:t>
      </w:r>
    </w:p>
    <w:p>
      <w:pPr>
        <w:spacing w:before="40" w:after="40"/>
        <w:ind w:left="576"/>
      </w:pPr>
      <w:r>
        <w:rPr>
          <w:b/>
          <w:i/>
          <w:color w:val="555555"/>
        </w:rPr>
        <w:t>GOOD:</w:t>
      </w:r>
      <w:r>
        <w:rPr>
          <w:i/>
          <w:color w:val="555555"/>
        </w:rPr>
        <w:t xml:space="preserve"> </w:t>
      </w:r>
      <w:r>
        <w:rPr>
          <w:i/>
          <w:color w:val="555555"/>
        </w:rPr>
        <w:t>"The doors open at 2pm in real daylight. There's no bar. The music is mine, beat to beat. Phones go in a basket at the door — you'll find yours when the music stops."</w:t>
      </w:r>
    </w:p>
    <w:p>
      <w:pPr>
        <w:spacing w:before="40" w:after="40"/>
        <w:ind w:left="576"/>
      </w:pPr>
      <w:r>
        <w:rPr>
          <w:b/>
          <w:i/>
          <w:color w:val="555555"/>
        </w:rPr>
        <w:t>BAD:</w:t>
      </w:r>
      <w:r>
        <w:rPr>
          <w:i/>
          <w:color w:val="555555"/>
        </w:rPr>
        <w:t xml:space="preserve"> </w:t>
      </w:r>
      <w:r>
        <w:rPr>
          <w:i/>
          <w:color w:val="555555"/>
        </w:rPr>
        <w:t>"Format reminder: 2pm start, no alcohol, phones off, music curated. See you Saturday!"</w:t>
      </w:r>
      <w:r>
        <w:rPr>
          <w:i/>
          <w:color w:val="555555"/>
        </w:rPr>
        <w:t xml:space="preserve"> (Spec sheet. Loses every reason behind every choice.)</w:t>
      </w:r>
    </w:p>
    <w:p>
      <w:r>
        <w:br w:type="page"/>
      </w:r>
    </w:p>
    <w:p>
      <w:pPr>
        <w:pStyle w:val="Heading2"/>
      </w:pPr>
      <w:r>
        <w:t>Section 7 — Visual Spec</w:t>
      </w:r>
    </w:p>
    <w:p>
      <w:r>
        <w:t xml:space="preserve">The newsletter visual system follows </w:t>
      </w:r>
      <w:r>
        <w:rPr>
          <w:rFonts w:ascii="Courier New" w:hAnsi="Courier New"/>
          <w:color w:val="884400"/>
          <w:sz w:val="20"/>
        </w:rPr>
        <w:t>01-visual/DESIGN.md</w:t>
      </w:r>
      <w:r>
        <w:t xml:space="preserve"> adapted for inbox display.</w:t>
      </w:r>
    </w:p>
    <w:p>
      <w:pPr>
        <w:pStyle w:val="ListBullet"/>
      </w:pPr>
      <w:r>
        <w:rPr>
          <w:b/>
        </w:rPr>
        <w:t>Brand mark in the email</w:t>
      </w:r>
      <w:r>
        <w:t>: Resonance wordmark (text-only, GT Sectra 24pt, Midnight-900 on Cream-50). At the top of the email, left-aligned. No logo lockup, no badge, no graphic.</w:t>
      </w:r>
    </w:p>
    <w:p>
      <w:pPr>
        <w:pStyle w:val="ListBullet"/>
      </w:pPr>
      <w:r>
        <w:rPr>
          <w:b/>
        </w:rPr>
        <w:t>Type</w:t>
      </w:r>
      <w:r>
        <w:t>: Body in Inter 16pt (system fallback for email clients), line-height 1.6. Headline (when used inline) in GT Sectra 28pt. No second display face.</w:t>
      </w:r>
    </w:p>
    <w:p>
      <w:pPr>
        <w:pStyle w:val="ListBullet"/>
      </w:pPr>
      <w:r>
        <w:rPr>
          <w:b/>
        </w:rPr>
        <w:t>Color</w:t>
      </w:r>
      <w:r>
        <w:t>: Cream-50 (#FBF7F0) background, Ink-900 (#1A1814) body type, Terracotta-600 (#B8492E) on the single CTA link only. No multi-color palettes inside the email.</w:t>
      </w:r>
    </w:p>
    <w:p>
      <w:pPr>
        <w:pStyle w:val="ListBullet"/>
      </w:pPr>
      <w:r>
        <w:rPr>
          <w:b/>
        </w:rPr>
        <w:t>Photography (when included)</w:t>
      </w:r>
      <w:r>
        <w:t>: One inline photo per issue, maximum. Daytime, real, captioned beneath in Slate-500 12pt label-caps. No header banner, no footer banner, no decorative image sequences.</w:t>
      </w:r>
    </w:p>
    <w:p>
      <w:pPr>
        <w:pStyle w:val="ListBullet"/>
      </w:pPr>
      <w:r>
        <w:rPr>
          <w:b/>
        </w:rPr>
        <w:t>CTA button</w:t>
      </w:r>
      <w:r>
        <w:t>: When used, terracotta-600 fill, cream text, label-caps, 2px radius. ONE per email. Fallback to a text link when the button doesn't render (Outlook, plain-text clients).</w:t>
      </w:r>
    </w:p>
    <w:p>
      <w:pPr>
        <w:pStyle w:val="ListBullet"/>
      </w:pPr>
      <w:r>
        <w:rPr>
          <w:b/>
        </w:rPr>
        <w:t>Anti-patterns</w:t>
      </w:r>
      <w:r>
        <w:t>: no HTML template with column layouts, no animated GIFs, no neon CTAs, no countdown timers, no social-icon footer row, no "as seen in" press logos in any transactional email.</w:t>
      </w:r>
    </w:p>
    <w:p>
      <w:r>
        <w:br w:type="page"/>
      </w:r>
    </w:p>
    <w:p>
      <w:pPr>
        <w:pStyle w:val="Heading2"/>
      </w:pPr>
      <w:r>
        <w:t>Section 8 — AI Prompt Formula (paste-in)</w:t>
      </w:r>
    </w:p>
    <w:p>
      <w:pPr>
        <w:spacing w:before="0" w:after="0"/>
        <w:ind w:left="432"/>
      </w:pPr>
      <w:r>
        <w:rPr>
          <w:rFonts w:ascii="Courier New" w:hAnsi="Courier New"/>
          <w:color w:val="555555"/>
          <w:sz w:val="18"/>
        </w:rPr>
        <w:t>[Spine reminder verbatim — see Section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PROFILE TARGET: [umbrella / Nora / Imani / Marcus / specific recipient].</w:t>
      </w:r>
    </w:p>
    <w:p>
      <w:pPr>
        <w:spacing w:before="0" w:after="0"/>
        <w:ind w:left="432"/>
      </w:pPr>
      <w:r>
        <w:rPr>
          <w:rFonts w:ascii="Courier New" w:hAnsi="Courier New"/>
          <w:color w:val="555555"/>
          <w:sz w:val="18"/>
        </w:rPr>
        <w:t>AUDIENCE STATE: [pre-contemplation / contemplation / preparation / action].</w:t>
      </w:r>
    </w:p>
    <w:p>
      <w:pPr>
        <w:spacing w:before="0" w:after="0"/>
        <w:ind w:left="432"/>
      </w:pPr>
      <w:r>
        <w:rPr>
          <w:rFonts w:ascii="Courier New" w:hAnsi="Courier New"/>
          <w:color w:val="555555"/>
          <w:sz w:val="18"/>
        </w:rPr>
        <w:t>BRIDGE MESSAGE: [verbatim from ICP master, profile-specific].</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RULES (paragraph): Warm, direct, confident, never preachy, never corporate. Show &gt; tell. Heart-encounter language as headline, body-first as explanation. Em-dashes ≤2. No "Here's what/why/how" openers. Subject test: would Andrea text this to a friend? If no, rewrite.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ASSET FORMAT:</w:t>
      </w:r>
    </w:p>
    <w:p>
      <w:pPr>
        <w:spacing w:before="0" w:after="0"/>
        <w:ind w:left="432"/>
      </w:pPr>
      <w:r>
        <w:rPr>
          <w:rFonts w:ascii="Courier New" w:hAnsi="Courier New"/>
          <w:color w:val="555555"/>
          <w:sz w:val="18"/>
        </w:rPr>
        <w:t>- Editorial newsletter: 600–900 words; subject 35–50 chars; preheader 60–90 chars; one CTA max; sender "Andrea, Resonance"; one inline photo max.</w:t>
      </w:r>
    </w:p>
    <w:p>
      <w:pPr>
        <w:spacing w:before="0" w:after="0"/>
        <w:ind w:left="432"/>
      </w:pPr>
      <w:r>
        <w:rPr>
          <w:rFonts w:ascii="Courier New" w:hAnsi="Courier New"/>
          <w:color w:val="555555"/>
          <w:sz w:val="18"/>
        </w:rPr>
        <w:t>- Transactional: 80–180 words; subject reflects the specific moment; ONE CTA max; first-name personalization.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HOOK + STRUCTURE PATTERNS (use 2 of these per piece):</w:t>
      </w:r>
    </w:p>
    <w:p>
      <w:pPr>
        <w:spacing w:before="0" w:after="0"/>
        <w:ind w:left="432"/>
      </w:pPr>
      <w:r>
        <w:rPr>
          <w:rFonts w:ascii="Courier New" w:hAnsi="Courier New"/>
          <w:color w:val="555555"/>
          <w:sz w:val="18"/>
        </w:rPr>
        <w:t>1. Out-loud-asking subject lines (the ICP's actual phrasing).</w:t>
      </w:r>
    </w:p>
    <w:p>
      <w:pPr>
        <w:spacing w:before="0" w:after="0"/>
        <w:ind w:left="432"/>
      </w:pPr>
      <w:r>
        <w:rPr>
          <w:rFonts w:ascii="Courier New" w:hAnsi="Courier New"/>
          <w:color w:val="555555"/>
          <w:sz w:val="18"/>
        </w:rPr>
        <w:t>2. Anaphora cadence in the body (You've-tried beats with sharp landing).</w:t>
      </w:r>
    </w:p>
    <w:p>
      <w:pPr>
        <w:spacing w:before="0" w:after="0"/>
        <w:ind w:left="432"/>
      </w:pPr>
      <w:r>
        <w:rPr>
          <w:rFonts w:ascii="Courier New" w:hAnsi="Courier New"/>
          <w:color w:val="555555"/>
          <w:sz w:val="18"/>
        </w:rPr>
        <w:t>3. One beat per issue (do one thing, land it, stop).</w:t>
      </w:r>
    </w:p>
    <w:p>
      <w:pPr>
        <w:spacing w:before="0" w:after="0"/>
        <w:ind w:left="432"/>
      </w:pPr>
      <w:r>
        <w:rPr>
          <w:rFonts w:ascii="Courier New" w:hAnsi="Courier New"/>
          <w:color w:val="555555"/>
          <w:sz w:val="18"/>
        </w:rPr>
        <w:t>4. Hell-yes filter for acceptance/decline.</w:t>
      </w:r>
    </w:p>
    <w:p>
      <w:pPr>
        <w:spacing w:before="0" w:after="0"/>
        <w:ind w:left="432"/>
      </w:pPr>
      <w:r>
        <w:rPr>
          <w:rFonts w:ascii="Courier New" w:hAnsi="Courier New"/>
          <w:color w:val="555555"/>
          <w:sz w:val="18"/>
        </w:rPr>
        <w:t>5. Mechanic-as-sentence for pre-event details.</w:t>
      </w:r>
    </w:p>
    <w:p>
      <w:pPr>
        <w:spacing w:before="0" w:after="0"/>
        <w:ind w:left="432"/>
      </w:pPr>
      <w:r>
        <w:rPr>
          <w:rFonts w:ascii="Courier New" w:hAnsi="Courier New"/>
          <w:color w:val="555555"/>
          <w:sz w:val="18"/>
        </w:rPr>
        <w:t>6. Crystallized phrase as the closing line.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VISUAL SPEC: text-led inbox letter from Andrea. Cream-50 background, Ink body, single Terracotta CTA link. Wordmark top-left in GT Sectra. ONE inline photo max. No HTML template with columns. No social icons. No banners.</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 [the specific request — e.g., "draft a post-Event-#1 recap newsletter targeting umbrella ICP. 700 words. Lead with one specific moment from the room. Land with the next-event CTA."]</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 Re-read the spine and voice rules.</w:t>
      </w:r>
    </w:p>
    <w:p>
      <w:pPr>
        <w:spacing w:before="0" w:after="0"/>
        <w:ind w:left="432"/>
      </w:pPr>
      <w:r>
        <w:rPr>
          <w:rFonts w:ascii="Courier New" w:hAnsi="Courier New"/>
          <w:color w:val="555555"/>
          <w:sz w:val="18"/>
        </w:rPr>
        <w:t>- Name which two patterns you're using.</w:t>
      </w:r>
    </w:p>
    <w:p>
      <w:pPr>
        <w:spacing w:before="0" w:after="0"/>
        <w:ind w:left="432"/>
      </w:pPr>
      <w:r>
        <w:rPr>
          <w:rFonts w:ascii="Courier New" w:hAnsi="Courier New"/>
          <w:color w:val="555555"/>
          <w:sz w:val="18"/>
        </w:rPr>
        <w:t>- Self-check the subject line: would Andrea text this to a friend?</w:t>
      </w:r>
    </w:p>
    <w:p>
      <w:pPr>
        <w:spacing w:before="0" w:after="0"/>
        <w:ind w:left="432"/>
      </w:pPr>
      <w:r>
        <w:rPr>
          <w:rFonts w:ascii="Courier New" w:hAnsi="Courier New"/>
          <w:color w:val="555555"/>
          <w:sz w:val="18"/>
        </w:rPr>
        <w:t>- Confirm the email does ONE thing, not four.</w:t>
      </w:r>
    </w:p>
    <w:p>
      <w:pPr>
        <w:spacing w:before="0" w:after="0"/>
        <w:ind w:left="432"/>
      </w:pPr>
      <w:r>
        <w:rPr>
          <w:rFonts w:ascii="Courier New" w:hAnsi="Courier New"/>
          <w:color w:val="555555"/>
          <w:sz w:val="18"/>
        </w:rPr>
        <w:t>- Self-check against banned phrases (community/intentional/conscious/sacred/high-vibe).</w:t>
      </w:r>
    </w:p>
    <w:p>
      <w:pPr>
        <w:spacing w:before="0" w:after="0"/>
        <w:ind w:left="432"/>
      </w:pPr>
      <w:r>
        <w:rPr>
          <w:rFonts w:ascii="Courier New" w:hAnsi="Courier New"/>
          <w:color w:val="555555"/>
          <w:sz w:val="18"/>
        </w:rPr>
        <w:t>- Confirm em-dashes ≤2.</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w:t>
      </w:r>
    </w:p>
    <w:p>
      <w:r>
        <w:br w:type="page"/>
      </w:r>
    </w:p>
    <w:p>
      <w:pPr>
        <w:pStyle w:val="Heading2"/>
      </w:pPr>
      <w:r>
        <w:t>Section 9 — Self-Check Questions</w:t>
      </w:r>
    </w:p>
    <w:p>
      <w:pPr>
        <w:pStyle w:val="ListNumber"/>
      </w:pPr>
      <w:r>
        <w:rPr>
          <w:b/>
        </w:rPr>
        <w:t>Spine fidelity</w:t>
      </w:r>
      <w:r>
        <w:t>: Does this honor heart-encounter, daytime, sober, curated?</w:t>
      </w:r>
    </w:p>
    <w:p>
      <w:pPr>
        <w:pStyle w:val="ListNumber"/>
      </w:pPr>
      <w:r>
        <w:rPr>
          <w:b/>
        </w:rPr>
        <w:t>Profile fit</w:t>
      </w:r>
      <w:r>
        <w:t>: Would the targeted reader recognize themselves? Or is this generic?</w:t>
      </w:r>
    </w:p>
    <w:p>
      <w:pPr>
        <w:pStyle w:val="ListNumber"/>
      </w:pPr>
      <w:r>
        <w:rPr>
          <w:b/>
        </w:rPr>
        <w:t>Subject test</w:t>
      </w:r>
      <w:r>
        <w:t>: Would Andrea text this to a friend? If no, rewrite.</w:t>
      </w:r>
    </w:p>
    <w:p>
      <w:pPr>
        <w:pStyle w:val="ListNumber"/>
      </w:pPr>
      <w:r>
        <w:rPr>
          <w:b/>
        </w:rPr>
        <w:t>One-beat discipline</w:t>
      </w:r>
      <w:r>
        <w:t>: Does the issue do ONE thing? If two, split into two issues.</w:t>
      </w:r>
    </w:p>
    <w:p>
      <w:pPr>
        <w:pStyle w:val="ListNumber"/>
      </w:pPr>
      <w:r>
        <w:rPr>
          <w:b/>
        </w:rPr>
        <w:t>Voice match</w:t>
      </w:r>
      <w:r>
        <w:t>: Could Andrea say this to a friend over coffee?</w:t>
      </w:r>
    </w:p>
    <w:p>
      <w:pPr>
        <w:pStyle w:val="ListNumber"/>
      </w:pPr>
      <w:r>
        <w:rPr>
          <w:b/>
        </w:rPr>
        <w:t>AI tells</w:t>
      </w:r>
      <w:r>
        <w:t>: No "Here's what/why/how" opening. Em-dashes ≤2. No "It's not X. It's Y." reveals.</w:t>
      </w:r>
    </w:p>
    <w:p>
      <w:pPr>
        <w:pStyle w:val="ListNumber"/>
      </w:pPr>
      <w:r>
        <w:rPr>
          <w:b/>
        </w:rPr>
        <w:t>Banned phrases</w:t>
      </w:r>
      <w:r>
        <w:t>: No community/intentional/conscious/sacred/high-vibe vocabulary.</w:t>
      </w:r>
    </w:p>
    <w:p>
      <w:pPr>
        <w:pStyle w:val="ListNumber"/>
      </w:pPr>
      <w:r>
        <w:rPr>
          <w:b/>
        </w:rPr>
        <w:t>CTA discipline</w:t>
      </w:r>
      <w:r>
        <w:t>: One CTA in the email. If two, kill one.</w:t>
      </w:r>
    </w:p>
    <w:p>
      <w:pPr>
        <w:pStyle w:val="ListNumber"/>
      </w:pPr>
      <w:r>
        <w:rPr>
          <w:b/>
        </w:rPr>
        <w:t>Format spec</w:t>
      </w:r>
      <w:r>
        <w:t>: Subject line in the 35–50 char window? Preheader extends, doesn't paraphrase?</w:t>
      </w:r>
    </w:p>
    <w:p>
      <w:r>
        <w:br w:type="page"/>
      </w:r>
    </w:p>
    <w:p>
      <w:pPr>
        <w:pStyle w:val="Heading2"/>
      </w:pPr>
      <w:r>
        <w:t>Section 10 — Source Citations</w:t>
      </w:r>
    </w:p>
    <w:p>
      <w:pPr>
        <w:pStyle w:val="ListBullet"/>
      </w:pPr>
      <w:r>
        <w:rPr>
          <w:rFonts w:ascii="Courier New" w:hAnsi="Courier New"/>
          <w:color w:val="884400"/>
          <w:sz w:val="20"/>
        </w:rPr>
        <w:t>00-foundation/01-brand-bible.md</w:t>
      </w:r>
      <w:r>
        <w:t xml:space="preserve"> §4 (relationship layer), §7 (the slow, considered piece)</w:t>
      </w:r>
    </w:p>
    <w:p>
      <w:pPr>
        <w:pStyle w:val="ListBullet"/>
      </w:pPr>
      <w:r>
        <w:rPr>
          <w:rFonts w:ascii="Courier New" w:hAnsi="Courier New"/>
          <w:color w:val="884400"/>
          <w:sz w:val="20"/>
        </w:rPr>
        <w:t>00-foundation/02-icp-master.md</w:t>
      </w:r>
      <w:r>
        <w:t xml:space="preserve"> — Sections 2-4 (profile-specific Bridge Messages and Language Maps)</w:t>
      </w:r>
    </w:p>
    <w:p>
      <w:pPr>
        <w:pStyle w:val="ListBullet"/>
      </w:pPr>
      <w:r>
        <w:rPr>
          <w:rFonts w:ascii="Courier New" w:hAnsi="Courier New"/>
          <w:color w:val="884400"/>
          <w:sz w:val="20"/>
        </w:rPr>
        <w:t>00-foundation/03-voice-document.md</w:t>
      </w:r>
      <w:r>
        <w:t xml:space="preserve"> — Patterns 1, 3, 4, 5, 6 + Section 4 voice examples (email subject lines)</w:t>
      </w:r>
    </w:p>
    <w:p>
      <w:pPr>
        <w:pStyle w:val="ListBullet"/>
      </w:pPr>
      <w:r>
        <w:rPr>
          <w:rFonts w:ascii="Courier New" w:hAnsi="Courier New"/>
          <w:color w:val="884400"/>
          <w:sz w:val="20"/>
        </w:rPr>
        <w:t>00-foundation/05-non-negotiables.md</w:t>
      </w:r>
      <w:r>
        <w:t xml:space="preserve"> — Lines 1, 2, 3, 9 (stories over metrics — informs CTA discipline)</w:t>
      </w:r>
    </w:p>
    <w:p>
      <w:pPr>
        <w:pStyle w:val="ListBullet"/>
      </w:pPr>
      <w:r>
        <w:rPr>
          <w:rFonts w:ascii="Courier New" w:hAnsi="Courier New"/>
          <w:color w:val="884400"/>
          <w:sz w:val="20"/>
        </w:rPr>
        <w:t>01-visual/DESIGN.md</w:t>
      </w:r>
      <w:r>
        <w:t xml:space="preserve"> — type, color, layout adapted for email clients</w:t>
      </w:r>
    </w:p>
    <w:p>
      <w:pPr>
        <w:pStyle w:val="ListBullet"/>
      </w:pPr>
      <w:r>
        <w:rPr>
          <w:rFonts w:ascii="Courier New" w:hAnsi="Courier New"/>
          <w:color w:val="884400"/>
          <w:sz w:val="20"/>
        </w:rPr>
        <w:t>01-visual/component-tokens.md</w:t>
      </w:r>
      <w:r>
        <w:t xml:space="preserve"> — CTA button spec</w:t>
      </w:r>
    </w:p>
    <w:p>
      <w:pPr>
        <w:pStyle w:val="ListBullet"/>
      </w:pPr>
      <w:r>
        <w:rPr>
          <w:rFonts w:ascii="Courier New" w:hAnsi="Courier New"/>
          <w:color w:val="884400"/>
          <w:sz w:val="20"/>
        </w:rPr>
        <w:t>02-briefs/00-master-creative-brief-template.md</w:t>
      </w:r>
      <w:r>
        <w:t xml:space="preserve"> — structural skeleton</w:t>
      </w:r>
    </w:p>
    <w:p>
      <w:pPr>
        <w:pStyle w:val="ListBullet"/>
      </w:pPr>
      <w:r>
        <w:rPr>
          <w:rFonts w:ascii="Courier New" w:hAnsi="Courier New"/>
          <w:color w:val="884400"/>
          <w:sz w:val="20"/>
        </w:rPr>
        <w:t>03-marketing/03-channel-architecture.md</w:t>
      </w:r>
      <w:r>
        <w:t xml:space="preserve"> — the place of email/newsletter in the broader funnel</w:t>
      </w:r>
    </w:p>
    <w:p>
      <w:pPr>
        <w:pStyle w:val="ListBullet"/>
      </w:pPr>
      <w:r>
        <w:t>A1-reconciliation §9 — Beehiiv-vs-Substack platform deferral note</w:t>
      </w:r>
    </w:p>
    <w:p>
      <w:pPr>
        <w:pStyle w:val="ListBullet"/>
      </w:pPr>
      <w:r>
        <w:t xml:space="preserve">Pattern reference: </w:t>
      </w:r>
      <w:r>
        <w:rPr>
          <w:rFonts w:ascii="Courier New" w:hAnsi="Courier New"/>
          <w:color w:val="884400"/>
          <w:sz w:val="20"/>
        </w:rPr>
        <w:t>02-briefs/ig-feed-post.md</w:t>
      </w:r>
      <w:r>
        <w:t xml:space="preserve"> — content-channel sister to this brief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