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b/>
          <w:sz w:val="36"/>
        </w:rPr>
        <w:t>TRENDSCALE BRIEF</w:t>
      </w:r>
    </w:p>
    <w:p>
      <w:pPr>
        <w:spacing w:before="160" w:after="240"/>
      </w:pPr>
      <w:r>
        <w:rPr>
          <w:b w:val="0"/>
          <w:sz w:val="18"/>
        </w:rPr>
        <w:t>Client-facing production brief. Built for founder review and editor handoff.</w:t>
      </w:r>
    </w:p>
    <w:p>
      <w:pPr>
        <w:spacing w:before="400" w:after="80"/>
      </w:pPr>
      <w:r>
        <w:rPr>
          <w:b/>
          <w:sz w:val="24"/>
        </w:rPr>
        <w:t>Strategic header</w:t>
      </w:r>
    </w:p>
    <w:p>
      <w:pPr>
        <w:spacing w:before="80" w:after="80"/>
      </w:pPr>
      <w:r>
        <w:rPr>
          <w:b/>
        </w:rPr>
        <w:t xml:space="preserve">Strategist: </w:t>
      </w:r>
      <w:r>
        <w:rPr>
          <w:b w:val="0"/>
        </w:rPr>
        <w:t>Farrice Cain</w:t>
      </w:r>
    </w:p>
    <w:p>
      <w:pPr>
        <w:spacing w:before="80" w:after="80"/>
      </w:pPr>
      <w:r>
        <w:rPr>
          <w:b/>
        </w:rPr>
        <w:t xml:space="preserve">Client: </w:t>
      </w:r>
      <w:r>
        <w:rPr>
          <w:b w:val="0"/>
        </w:rPr>
        <w:t>JCKED - Liquid L-Carnitine 4000mg</w:t>
      </w:r>
    </w:p>
    <w:p>
      <w:pPr>
        <w:spacing w:before="80" w:after="80"/>
      </w:pPr>
      <w:r>
        <w:t>PDP: Final product page URL pending. Use the JCKED Liquid L-Carnitine 4000mg PDP before launch.</w:t>
      </w:r>
    </w:p>
    <w:p>
      <w:pPr>
        <w:spacing w:before="80" w:after="80"/>
      </w:pPr>
      <w:r>
        <w:rPr>
          <w:b/>
        </w:rPr>
        <w:t xml:space="preserve">Media buyer notes: </w:t>
      </w:r>
      <w:r>
        <w:rPr>
          <w:b w:val="0"/>
        </w:rPr>
        <w:t>Primary buying angle: dose contrast. JCKED gives 4,000mg liquid L-carnitine; low-dose 500mg category products become the foil. Test the mechanism-first version before any body-transformation or urgency-led variant.</w:t>
      </w:r>
    </w:p>
    <w:p>
      <w:pPr>
        <w:spacing w:before="80" w:after="80"/>
      </w:pPr>
      <w:r>
        <w:rPr>
          <w:b/>
        </w:rPr>
        <w:t xml:space="preserve">Concept type: </w:t>
      </w:r>
      <w:r>
        <w:rPr>
          <w:b w:val="0"/>
        </w:rPr>
        <w:t>Iteration</w:t>
      </w:r>
    </w:p>
    <w:p>
      <w:pPr>
        <w:spacing w:before="80" w:after="80"/>
      </w:pPr>
      <w:r>
        <w:rPr>
          <w:b/>
        </w:rPr>
        <w:t xml:space="preserve">Iterated from: </w:t>
      </w:r>
      <w:r>
        <w:rPr>
          <w:b w:val="0"/>
        </w:rPr>
        <w:t>The Locked Vault control concept.</w:t>
      </w:r>
    </w:p>
    <w:p>
      <w:pPr>
        <w:spacing w:before="80" w:after="80"/>
      </w:pPr>
      <w:r>
        <w:rPr>
          <w:b/>
        </w:rPr>
        <w:t xml:space="preserve">Avatar: </w:t>
      </w:r>
      <w:r>
        <w:rPr>
          <w:b w:val="0"/>
        </w:rPr>
        <w:t>Men 35 to 50 who still train, diet, and buy supplements, but feel the same routine gives less back than it used to. He is not new to L-carnitine. He has probably tried a lower-dose bottle and written the category off.</w:t>
      </w:r>
    </w:p>
    <w:p>
      <w:pPr>
        <w:spacing w:before="80" w:after="80"/>
      </w:pPr>
      <w:r>
        <w:rPr>
          <w:b/>
        </w:rPr>
        <w:t xml:space="preserve">Awareness level: </w:t>
      </w:r>
      <w:r>
        <w:rPr>
          <w:b w:val="0"/>
        </w:rPr>
        <w:t>Problem aware to Solution aware</w:t>
      </w:r>
    </w:p>
    <w:p>
      <w:pPr>
        <w:spacing w:before="80" w:after="80"/>
      </w:pPr>
      <w:r>
        <w:t>Hypothesis: A locked-vault metaphor gives this viewer an honorable explanation for a stalled routine: before long-chain fats can be used as fuel, they have to reach mitochondria. JCKED then owns specificity through dose contrast. By the click, he should be thinking: “Maybe I tested the wrong dose story.”</w:t>
      </w:r>
    </w:p>
    <w:p>
      <w:pPr>
        <w:spacing w:before="400" w:after="80"/>
      </w:pPr>
      <w:r>
        <w:rPr>
          <w:b/>
          <w:sz w:val="24"/>
        </w:rPr>
        <w:t>Inspiration and editing</w:t>
      </w:r>
    </w:p>
    <w:p>
      <w:pPr>
        <w:spacing w:before="80" w:after="80"/>
      </w:pPr>
      <w:r>
        <w:rPr>
          <w:b/>
        </w:rPr>
        <w:t xml:space="preserve">Concept inspo: </w:t>
      </w:r>
      <w:r>
        <w:rPr>
          <w:b w:val="0"/>
        </w:rPr>
        <w:t>A locked vault, a key entering a gate, cinematic mitochondria, and a calm dose comparison. The world is science-documentary, not gym-bro transformation ad.</w:t>
      </w:r>
    </w:p>
    <w:p>
      <w:pPr>
        <w:spacing w:before="80" w:after="80"/>
      </w:pPr>
      <w:r>
        <w:rPr>
          <w:b/>
        </w:rPr>
        <w:t xml:space="preserve">Cast type: </w:t>
      </w:r>
      <w:r>
        <w:rPr>
          <w:b w:val="0"/>
        </w:rPr>
        <w:t>HeyGen narrator + AI b-roll. Use a polished presenter and cinematic biology visuals, not handheld UGC.</w:t>
      </w:r>
    </w:p>
    <w:p>
      <w:pPr>
        <w:spacing w:before="80" w:after="80"/>
      </w:pPr>
      <w:r>
        <w:rPr>
          <w:b/>
        </w:rPr>
        <w:t xml:space="preserve">AI avatar look: </w:t>
      </w:r>
      <w:r>
        <w:rPr>
          <w:b w:val="0"/>
        </w:rPr>
        <w:t>Male, 38 to 45, understated, clean but lived-in. Neutral kitchen or study. Dark overshirt or simple crewneck. No doctor coat, no fitness influencer styling.</w:t>
      </w:r>
    </w:p>
    <w:p>
      <w:pPr>
        <w:spacing w:before="80" w:after="80"/>
      </w:pPr>
      <w:r>
        <w:rPr>
          <w:b/>
        </w:rPr>
        <w:t xml:space="preserve">Pacing: </w:t>
      </w:r>
      <w:r>
        <w:rPr>
          <w:b w:val="0"/>
        </w:rPr>
        <w:t>Medium-fast. Calm voiceover, tight mechanism cuts, slower product/dose reveal.</w:t>
      </w:r>
    </w:p>
    <w:p>
      <w:pPr>
        <w:spacing w:before="80" w:after="80"/>
      </w:pPr>
      <w:r>
        <w:rPr>
          <w:b/>
        </w:rPr>
        <w:t xml:space="preserve">Main emotion: </w:t>
      </w:r>
      <w:r>
        <w:rPr>
          <w:b w:val="0"/>
        </w:rPr>
        <w:t>Vindication first, then curiosity, then confidence in the dose difference.</w:t>
      </w:r>
    </w:p>
    <w:p>
      <w:pPr>
        <w:spacing w:before="80" w:after="80"/>
      </w:pPr>
      <w:r>
        <w:rPr>
          <w:b/>
        </w:rPr>
        <w:t xml:space="preserve">Voiceover: </w:t>
      </w:r>
      <w:r>
        <w:rPr>
          <w:b w:val="0"/>
        </w:rPr>
        <w:t>Plain-spoken strategist voice. Direct, controlled, and specific. The narrator should sound like he has seen the category, not like he is hyping a supplement.</w:t>
      </w:r>
    </w:p>
    <w:p>
      <w:pPr>
        <w:spacing w:before="80" w:after="80"/>
      </w:pPr>
      <w:r>
        <w:rPr>
          <w:b/>
        </w:rPr>
        <w:t xml:space="preserve">Music: </w:t>
      </w:r>
      <w:r>
        <w:rPr>
          <w:b w:val="0"/>
        </w:rPr>
        <w:t>Sparse low pulse at minus 18dB. Drop to silence on the final decision line.</w:t>
      </w:r>
    </w:p>
    <w:p>
      <w:pPr>
        <w:spacing w:before="80" w:after="80"/>
      </w:pPr>
      <w:r>
        <w:rPr>
          <w:b/>
        </w:rPr>
        <w:t xml:space="preserve">Caption style: </w:t>
      </w:r>
      <w:r>
        <w:rPr>
          <w:b w:val="0"/>
        </w:rPr>
        <w:t>Manual burned-in captions, bottom third, six words per frame maximum. Amber only for gate, key, and dose callouts.</w:t>
      </w:r>
    </w:p>
    <w:p>
      <w:pPr>
        <w:spacing w:before="80" w:after="80"/>
      </w:pPr>
      <w:r>
        <w:t>Overall direction: Lead with the locked-gate mechanism, then make 4,000mg the proof-of-difference. Product enters once dose becomes the obvious question.</w:t>
      </w:r>
    </w:p>
    <w:p>
      <w:pPr>
        <w:spacing w:before="80" w:after="80"/>
      </w:pPr>
      <w:r>
        <w:rPr>
          <w:b/>
        </w:rPr>
        <w:t xml:space="preserve">Editing notes: </w:t>
      </w:r>
      <w:r>
        <w:rPr>
          <w:b w:val="0"/>
        </w:rPr>
        <w:t>Keep the mitochondria sequence metaphorical and premium. Avoid body photos, scale imagery, before-and-after comparisons, doctor visuals, panic urgency, and CapCut-style effects. Product shot should use supplied brand assets or real product photography.</w:t>
      </w:r>
    </w:p>
    <w:p>
      <w:pPr>
        <w:spacing w:before="400" w:after="80"/>
      </w:pPr>
      <w:r>
        <w:rPr>
          <w:b/>
          <w:sz w:val="24"/>
        </w:rPr>
        <w:t>Script</w:t>
      </w:r>
    </w:p>
    <w:p>
      <w:pPr>
        <w:spacing w:before="80" w:after="80"/>
      </w:pPr>
      <w:r>
        <w:rPr>
          <w:b/>
        </w:rPr>
        <w:t xml:space="preserve">Format: </w:t>
      </w:r>
      <w:r>
        <w:rPr>
          <w:b w:val="0"/>
        </w:rPr>
        <w:t>Video, 9:16, 30 seconds. Optional 6-card static carousel using the same dose-contrast angle.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952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Visual / editing notes</w:t>
            </w:r>
          </w:p>
        </w:tc>
        <w:tc>
          <w:tcPr>
            <w:tcW w:type="dxa" w:w="1512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Section</w:t>
            </w:r>
          </w:p>
        </w:tc>
        <w:tc>
          <w:tcPr>
            <w:tcW w:type="dxa" w:w="4536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Script</w:t>
            </w:r>
          </w:p>
        </w:tc>
        <w:tc>
          <w:tcPr>
            <w:tcW w:type="dxa" w:w="2304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fill="D9EAF7"/>
          </w:tcPr>
          <w:p>
            <w:r>
              <w:rPr>
                <w:b/>
                <w:sz w:val="19"/>
              </w:rPr>
              <w:t>On-screen text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Open on a dark vault door inside a cinematic mitochondrion. A small amber key approaches but does not enter yet.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Hook 1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Before stored fat becomes fuel, it has to get through a gate.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Stored fat needs a way in.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Cut to a half-used supplement bottle in a bathroom cabinet. Label details stay generic unless brand assets are cleared.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Hook 2</w:t>
            </w:r>
          </w:p>
        </w:tc>
        <w:tc>
          <w:tcPr>
            <w:tcW w:type="dxa" w:w="4536"/>
            <w:vAlign w:val="top"/>
          </w:tcPr>
          <w:p>
            <w:r>
              <w:t>His old L-carnitine bottle may have had a right ingredient at a weak dose.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Right ingredient. Wrong dose.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Show two clean dose cards: 500mg category bottle vs JCKED 4,000mg. Keep it graphic, not attack-ad.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Hook 3</w:t>
            </w:r>
          </w:p>
        </w:tc>
        <w:tc>
          <w:tcPr>
            <w:tcW w:type="dxa" w:w="4536"/>
            <w:vAlign w:val="top"/>
          </w:tcPr>
          <w:p>
            <w:r>
              <w:t>Most L-carnitine ads sell an ingredient. This one makes dose difference impossible to miss.</w:t>
            </w:r>
          </w:p>
        </w:tc>
        <w:tc>
          <w:tcPr>
            <w:tcW w:type="dxa" w:w="2304"/>
            <w:vAlign w:val="top"/>
          </w:tcPr>
          <w:p>
            <w:r>
              <w:t>Dose is the angle.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Cinematic b-roll: long-chain fatty acid approaches the mitochondrial membrane. Carnitine shuttle animation enters as the key.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mechanism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L-carnitine plays a role in transporting long-chain fatty acids into mitochondria, where they can be used for energy.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L-carnitine supports transport.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Gate opens. CPT-1 label appears briefly. Do not over-teach; one clear mechanism beat only.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proof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That shuttle process is why a dose story beats a generic ingredient story. If the category comparison is 500mg versus 4,000mg, JCKED is playing a different game.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500mg vs 4,000mg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Product bottle on kitchen counter. Amber light moves from gate graphic to bottle label.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product reveal</w:t>
            </w:r>
          </w:p>
        </w:tc>
        <w:tc>
          <w:tcPr>
            <w:tcW w:type="dxa" w:w="4536"/>
            <w:vAlign w:val="top"/>
          </w:tcPr>
          <w:p>
            <w:r>
              <w:rPr>
                <w:b w:val="0"/>
                <w:sz w:val="18"/>
              </w:rPr>
              <w:t>JCKED Liquid L-Carnitine gives 4,000mg in one liquid serving. The creative should make that number impossible to miss.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JCKED Liquid L-Carnitine / 4,000mg</w:t>
            </w:r>
          </w:p>
        </w:tc>
      </w:tr>
      <w:tr>
        <w:tc>
          <w:tcPr>
            <w:tcW w:type="dxa" w:w="2952"/>
            <w:vAlign w:val="top"/>
          </w:tcPr>
          <w:p>
            <w:r>
              <w:rPr>
                <w:b w:val="0"/>
                <w:sz w:val="18"/>
              </w:rPr>
              <w:t>Final product hold. Music drops. Learn More button appears.</w:t>
            </w:r>
          </w:p>
        </w:tc>
        <w:tc>
          <w:tcPr>
            <w:tcW w:type="dxa" w:w="1512"/>
            <w:vAlign w:val="top"/>
          </w:tcPr>
          <w:p>
            <w:r>
              <w:rPr>
                <w:b w:val="0"/>
                <w:sz w:val="18"/>
              </w:rPr>
              <w:t>Body - CTA</w:t>
            </w:r>
          </w:p>
        </w:tc>
        <w:tc>
          <w:tcPr>
            <w:tcW w:type="dxa" w:w="4536"/>
            <w:vAlign w:val="top"/>
          </w:tcPr>
          <w:p>
            <w:r>
              <w:t>Read the dose. Compare labels. Then decide.</w:t>
            </w:r>
          </w:p>
        </w:tc>
        <w:tc>
          <w:tcPr>
            <w:tcW w:type="dxa" w:w="2304"/>
            <w:vAlign w:val="top"/>
          </w:tcPr>
          <w:p>
            <w:r>
              <w:rPr>
                <w:b w:val="0"/>
                <w:sz w:val="18"/>
              </w:rPr>
              <w:t>Compare the label / Learn More</w:t>
            </w:r>
          </w:p>
        </w:tc>
      </w:tr>
    </w:tbl>
    <w:p>
      <w:pPr>
        <w:spacing w:before="400" w:after="80"/>
      </w:pPr>
      <w:r>
        <w:rPr>
          <w:b/>
          <w:sz w:val="24"/>
        </w:rPr>
        <w:t>Notes</w:t>
      </w:r>
    </w:p>
    <w:p>
      <w:pPr>
        <w:spacing w:before="80" w:after="80"/>
      </w:pPr>
      <w:r>
        <w:t>Note: Production guardrail: structure-function language only. Confirm final label/PDP dosage before launch. Avoid direct fat-burn phrasing, disease claims, hard weight-loss promises, and personal-attribute callouts.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6"/>
        </w:rPr>
        <w:t>TrendScale  ·  Brief Template v1.3  ·  trendscale.net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