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rFonts w:ascii="Arial" w:hAnsi="Arial"/>
          <w:b/>
          <w:color w:val="0074FE"/>
          <w:sz w:val="52"/>
        </w:rPr>
        <w:t>TRENDSCALE BRIEF</w:t>
      </w:r>
    </w:p>
    <w:p>
      <w:pPr>
        <w:spacing w:before="160" w:after="240"/>
      </w:pPr>
      <w:r/>
      <w:r>
        <w:rPr>
          <w:rFonts w:ascii="Arial" w:hAnsi="Arial"/>
          <w:sz w:val="20"/>
        </w:rPr>
        <w:t>Client-facing production brief for paid social review and editor handoff.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Strategic header</w:t>
      </w:r>
    </w:p>
    <w:p>
      <w:pPr>
        <w:spacing w:before="80" w:after="80"/>
      </w:pPr>
      <w:r/>
      <w:r>
        <w:rPr>
          <w:rFonts w:ascii="Arial" w:hAnsi="Arial"/>
          <w:sz w:val="20"/>
        </w:rPr>
        <w:t>Strategist: Farrice Cain</w:t>
      </w:r>
    </w:p>
    <w:p>
      <w:pPr>
        <w:spacing w:before="80" w:after="80"/>
      </w:pPr>
      <w:r/>
      <w:r>
        <w:rPr>
          <w:rFonts w:ascii="Arial" w:hAnsi="Arial"/>
          <w:sz w:val="20"/>
        </w:rPr>
        <w:t>Client: JCKED - Liquid L-Carnitine 4000MG</w:t>
      </w:r>
    </w:p>
    <w:p>
      <w:pPr>
        <w:spacing w:before="80" w:after="80"/>
      </w:pPr>
      <w:r/>
      <w:r>
        <w:rPr>
          <w:rFonts w:ascii="Arial" w:hAnsi="Arial"/>
          <w:sz w:val="20"/>
        </w:rPr>
        <w:t>PDP: https://jcked.com/products/liquid-l-carnitine-4000mg-of1</w:t>
      </w:r>
    </w:p>
    <w:p>
      <w:pPr>
        <w:spacing w:before="80" w:after="80"/>
      </w:pPr>
      <w:r/>
      <w:r>
        <w:rPr>
          <w:rFonts w:ascii="Arial" w:hAnsi="Arial"/>
          <w:sz w:val="20"/>
        </w:rPr>
        <w:t>Production note: Recommended control is Hook 1. The script column is exact spoken voiceover. This pass is optimized for top-of-funnel curiosity and qualified click intent. The PDP verifies the product title, 4,000mg liquid L-carnitine positioning, 15mL serving, and liquid delivery. Keep competitor contrast as label comparison unless specific competitor labels are cleared.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type: Iteration</w:t>
      </w:r>
    </w:p>
    <w:p>
      <w:pPr>
        <w:spacing w:before="80" w:after="80"/>
      </w:pPr>
      <w:r/>
      <w:r>
        <w:rPr>
          <w:rFonts w:ascii="Arial" w:hAnsi="Arial"/>
          <w:sz w:val="20"/>
        </w:rPr>
        <w:t>Iterated from: The Locked Vault control concept.</w:t>
      </w:r>
    </w:p>
    <w:p>
      <w:pPr>
        <w:spacing w:before="80" w:after="80"/>
      </w:pPr>
      <w:r/>
      <w:r>
        <w:rPr>
          <w:rFonts w:ascii="Arial" w:hAnsi="Arial"/>
          <w:sz w:val="20"/>
        </w:rPr>
        <w:t>Avatar: Male, 35 to 50. He has a cabinet graveyard of half-used supplements and does not trust transformation language. He will stop for a label contradiction: maybe the ingredient was blamed before the serving was checked.</w:t>
      </w:r>
    </w:p>
    <w:p>
      <w:pPr>
        <w:spacing w:before="80" w:after="80"/>
      </w:pPr>
      <w:r/>
      <w:r>
        <w:rPr>
          <w:rFonts w:ascii="Arial" w:hAnsi="Arial"/>
          <w:sz w:val="20"/>
        </w:rPr>
        <w:t>Awareness level: Problem aware to Solution aware</w:t>
      </w:r>
    </w:p>
    <w:p>
      <w:pPr>
        <w:spacing w:before="80" w:after="80"/>
      </w:pPr>
      <w:r/>
      <w:r>
        <w:rPr>
          <w:rFonts w:ascii="Arial" w:hAnsi="Arial"/>
          <w:sz w:val="20"/>
        </w:rPr>
        <w:t>Hypothesis: The vault metaphor works best when the hook names the failed prior test. Lead with the private week-three quit moment, then make one label number feel like the open loop.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Inspiration and editing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inspo: Half-used bottle, bathroom cabinet, locked vault, amber key, mitochondrial gate, serving-size cards, real product on counter.</w:t>
      </w:r>
    </w:p>
    <w:p>
      <w:pPr>
        <w:spacing w:before="80" w:after="80"/>
      </w:pPr>
      <w:r/>
      <w:r>
        <w:rPr>
          <w:rFonts w:ascii="Arial" w:hAnsi="Arial"/>
          <w:sz w:val="20"/>
        </w:rPr>
        <w:t>Cast type: HeyGen presenter with cinematic AI b-roll and real product photography.</w:t>
      </w:r>
    </w:p>
    <w:p>
      <w:pPr>
        <w:spacing w:before="80" w:after="80"/>
      </w:pPr>
      <w:r/>
      <w:r>
        <w:rPr>
          <w:rFonts w:ascii="Arial" w:hAnsi="Arial"/>
          <w:sz w:val="20"/>
        </w:rPr>
        <w:t>AI avatar look: Male, 38 to 45, understated, clean but lived-in. Neutral kitchen or study. Simple dark overshirt or crewneck. Calm strategist energy, no doctor coat.</w:t>
      </w:r>
    </w:p>
    <w:p>
      <w:pPr>
        <w:spacing w:before="80" w:after="80"/>
      </w:pPr>
      <w:r/>
      <w:r>
        <w:rPr>
          <w:rFonts w:ascii="Arial" w:hAnsi="Arial"/>
          <w:sz w:val="20"/>
        </w:rPr>
        <w:t>Pacing: Private behavior hook, label mystery, mechanism reveal, dose card, product hold, soft click.</w:t>
      </w:r>
    </w:p>
    <w:p>
      <w:pPr>
        <w:spacing w:before="80" w:after="80"/>
      </w:pPr>
      <w:r/>
      <w:r>
        <w:rPr>
          <w:rFonts w:ascii="Arial" w:hAnsi="Arial"/>
          <w:sz w:val="20"/>
        </w:rPr>
        <w:t>Main emotion: Vindication. The viewer should feel the old bottle may have been a weak test, not a final answer.</w:t>
      </w:r>
    </w:p>
    <w:p>
      <w:pPr>
        <w:spacing w:before="80" w:after="80"/>
      </w:pPr>
      <w:r/>
      <w:r>
        <w:rPr>
          <w:rFonts w:ascii="Arial" w:hAnsi="Arial"/>
          <w:sz w:val="20"/>
        </w:rPr>
        <w:t>Voiceover: Low, plain, and forensic. Read the script column as written. No extra explainer copy.</w:t>
      </w:r>
    </w:p>
    <w:p>
      <w:pPr>
        <w:spacing w:before="80" w:after="80"/>
      </w:pPr>
      <w:r/>
      <w:r>
        <w:rPr>
          <w:rFonts w:ascii="Arial" w:hAnsi="Arial"/>
          <w:sz w:val="20"/>
        </w:rPr>
        <w:t>Music: Sparse low pulse at minus 18dB. Drop under the final label line.</w:t>
      </w:r>
    </w:p>
    <w:p>
      <w:pPr>
        <w:spacing w:before="80" w:after="80"/>
      </w:pPr>
      <w:r/>
      <w:r>
        <w:rPr>
          <w:rFonts w:ascii="Arial" w:hAnsi="Arial"/>
          <w:sz w:val="20"/>
        </w:rPr>
        <w:t>Caption style: Manual burned-in captions. Six words per frame maximum. Amber only for key, gate, and dose-card moments.</w:t>
      </w:r>
    </w:p>
    <w:p>
      <w:pPr>
        <w:spacing w:before="80" w:after="80"/>
      </w:pPr>
      <w:r/>
      <w:r>
        <w:rPr>
          <w:rFonts w:ascii="Arial" w:hAnsi="Arial"/>
          <w:sz w:val="20"/>
        </w:rPr>
        <w:t>Overall direction: Use one hook, then continue through the body rows in order. The ad should feel like a cold-traffic mystery about an unfair supplement test, not a fat-loss pitch.</w:t>
      </w:r>
    </w:p>
    <w:p>
      <w:pPr>
        <w:spacing w:before="80" w:after="80"/>
      </w:pPr>
      <w:r/>
      <w:r>
        <w:rPr>
          <w:rFonts w:ascii="Arial" w:hAnsi="Arial"/>
          <w:sz w:val="20"/>
        </w:rPr>
        <w:t>Editing notes: Use cabinet, label, dose card, vault, and mitochondria visuals. Avoid body photos, scale imagery, before-after comparisons, doctor visuals, panic urgency, and template effects. Keep the bottle real.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Script</w:t>
      </w:r>
    </w:p>
    <w:p>
      <w:pPr>
        <w:spacing w:before="80" w:after="80"/>
      </w:pPr>
      <w:r/>
      <w:r>
        <w:rPr>
          <w:rFonts w:ascii="Arial" w:hAnsi="Arial"/>
          <w:sz w:val="20"/>
        </w:rPr>
        <w:t>Format: Video, 9:16, 30 seconds. Optional 6-card static carousel using the serving-size contrast.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Visual / editing notes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Script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On-screen text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Half-used L-carnitine bottle in a bathroom cabinet. Thumb turns the label toward camera.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He quit L-carnitine in week three. The bottle may prove the test was never fair.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TEST WAS NEVER FAIR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Locked amber vault inside a stylized cell. A key stops just short of the gate.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ingredient did not need a louder promise. It needed a fair serving.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FAIR SERVING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Two clean cards: 500mg on the left, JCKED 4,000mg on the right. No competitor logo.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 low-dose bottle and a 4,000mg liquid serving are not the same experiment.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NOT THE SAME TEST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Cinematic mitochondria gate. L-carnitine tag moves with a long-chain fatty acid.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Mechanism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Long-chain fatty acids do not just drift into mitochondria. They need a transport step.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TRANSPORT STEP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Amber key reaches the vault. Gate opens just enough to show the metaphor.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Vault turn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L-carnitine is part of that step. That is the locked vault.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LOCKED VAULT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Dose card returns. Prior bottle fades back. JCKED 4,000mg stays sharp.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Dose turn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That is why the label number changes the whole experiment.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LABEL CHANGES THE TEST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Real JCKED bottle on a counter. Macro label hold on 4,000mg and serving size.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Product reveal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JCKED makes that question visible: 4,000mg liquid L-carnitine in a 15mL serving.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4,000MG / 15ML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Bottle hold. Quick label comparison card. CTA appears after the voice lands.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CTA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Open the product page. Check the serving. Then decide if the old bottle got a fair shot.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CHECK THE SERVING</w:t>
            </w:r>
          </w:p>
        </w:tc>
      </w:tr>
    </w:tbl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Notes</w:t>
      </w:r>
    </w:p>
    <w:p>
      <w:pPr>
        <w:spacing w:before="80" w:after="80"/>
      </w:pPr>
      <w:r/>
      <w:r>
        <w:rPr>
          <w:rFonts w:ascii="Arial" w:hAnsi="Arial"/>
          <w:sz w:val="20"/>
        </w:rPr>
        <w:t>Note: Structure-function language only. Final edit must match the live PDP and label. Avoid hard fat-loss promises, disease claims, personal-attribute callouts, and universal competitor claims. Source anchors: NIH ODS Carnitine Health Professional Fact Sheet, https://ods.od.nih.gov/factsheets/Carnitine-HealthProfessional/; Linus Pauling Institute L-Carnitine, https://lpi.oregonstate.edu/mic/dietary-factors/L-carnitine.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8"/>
        </w:rPr>
        <w:t>TrendScale  ·  Brief Template v1.3  ·  trendscale.net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