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24" w:space="4" w:color="0074FE"/>
        </w:pBdr>
      </w:pPr>
      <w:r>
        <w:rPr>
          <w:rFonts w:ascii="Arial" w:hAnsi="Arial"/>
          <w:b/>
          <w:color w:val="0074FE"/>
          <w:sz w:val="52"/>
        </w:rPr>
        <w:t>TRENDSCALE BRIEF</w:t>
      </w:r>
    </w:p>
    <w:p>
      <w:pPr>
        <w:spacing w:before="160" w:after="240"/>
      </w:pPr>
      <w:r/>
      <w:r>
        <w:rPr>
          <w:rFonts w:ascii="Arial" w:hAnsi="Arial"/>
          <w:sz w:val="20"/>
        </w:rPr>
        <w:t>Client-facing production brief for paid social review and editor handoff.</w:t>
      </w:r>
    </w:p>
    <w:p>
      <w:pPr>
        <w:spacing w:before="400" w:after="80"/>
      </w:pPr>
      <w:r>
        <w:rPr>
          <w:rFonts w:ascii="Arial" w:hAnsi="Arial"/>
          <w:b/>
          <w:color w:val="0074FE"/>
          <w:sz w:val="28"/>
        </w:rPr>
        <w:t>Strategic header</w:t>
      </w:r>
    </w:p>
    <w:p>
      <w:pPr>
        <w:spacing w:before="80" w:after="80"/>
      </w:pPr>
      <w:r/>
      <w:r>
        <w:rPr>
          <w:rFonts w:ascii="Arial" w:hAnsi="Arial"/>
          <w:sz w:val="20"/>
        </w:rPr>
        <w:t>Strategist: Farrice Cain</w:t>
      </w:r>
    </w:p>
    <w:p>
      <w:pPr>
        <w:spacing w:before="80" w:after="80"/>
      </w:pPr>
      <w:r/>
      <w:r>
        <w:rPr>
          <w:rFonts w:ascii="Arial" w:hAnsi="Arial"/>
          <w:sz w:val="20"/>
        </w:rPr>
        <w:t>Client: JCKED - Liquid L-Carnitine 4000MG</w:t>
      </w:r>
    </w:p>
    <w:p>
      <w:pPr>
        <w:spacing w:before="80" w:after="80"/>
      </w:pPr>
      <w:r/>
      <w:r>
        <w:rPr>
          <w:rFonts w:ascii="Arial" w:hAnsi="Arial"/>
          <w:sz w:val="20"/>
        </w:rPr>
        <w:t>PDP: https://jcked.com/products/liquid-l-carnitine-4000mg-of1</w:t>
      </w:r>
    </w:p>
    <w:p>
      <w:pPr>
        <w:spacing w:before="80" w:after="80"/>
      </w:pPr>
      <w:r/>
      <w:r>
        <w:rPr>
          <w:rFonts w:ascii="Arial" w:hAnsi="Arial"/>
          <w:sz w:val="20"/>
        </w:rPr>
        <w:t>Production note: Recommended control is Hook 1. The script column is exact spoken voiceover. This pass restores the original buyer psychology: half-used bottle, week-three quit, self-blame, same gym, different biology, and the 500mg versus 4,000mg label comparison. PDP facts used: Liquid L-Carnitine 4000MG, 4,000mg serving, 15mL tablespoon direction, liquid delivery, current flavor variants, and $59.95 single-bottle pricing.</w:t>
      </w:r>
    </w:p>
    <w:p>
      <w:pPr>
        <w:spacing w:before="80" w:after="80"/>
      </w:pPr>
      <w:r/>
      <w:r>
        <w:rPr>
          <w:rFonts w:ascii="Arial" w:hAnsi="Arial"/>
          <w:sz w:val="20"/>
        </w:rPr>
        <w:t>Concept type: Iteration</w:t>
      </w:r>
    </w:p>
    <w:p>
      <w:pPr>
        <w:spacing w:before="80" w:after="80"/>
      </w:pPr>
      <w:r/>
      <w:r>
        <w:rPr>
          <w:rFonts w:ascii="Arial" w:hAnsi="Arial"/>
          <w:sz w:val="20"/>
        </w:rPr>
        <w:t>Iterated from: The Locked Vault control concept.</w:t>
      </w:r>
    </w:p>
    <w:p>
      <w:pPr>
        <w:spacing w:before="80" w:after="80"/>
      </w:pPr>
      <w:r/>
      <w:r>
        <w:rPr>
          <w:rFonts w:ascii="Arial" w:hAnsi="Arial"/>
          <w:sz w:val="20"/>
        </w:rPr>
        <w:t>Avatar: Male, 35 to 50. He has a cabinet graveyard of half-used supplements and does not trust transformation language. He will stop for a label contradiction: maybe the ingredient was blamed before the serving was checked.</w:t>
      </w:r>
    </w:p>
    <w:p>
      <w:pPr>
        <w:spacing w:before="80" w:after="80"/>
      </w:pPr>
      <w:r/>
      <w:r>
        <w:rPr>
          <w:rFonts w:ascii="Arial" w:hAnsi="Arial"/>
          <w:sz w:val="20"/>
        </w:rPr>
        <w:t>Awareness level: Problem aware to Solution aware</w:t>
      </w:r>
    </w:p>
    <w:p>
      <w:pPr>
        <w:spacing w:before="80" w:after="80"/>
      </w:pPr>
      <w:r/>
      <w:r>
        <w:rPr>
          <w:rFonts w:ascii="Arial" w:hAnsi="Arial"/>
          <w:sz w:val="20"/>
        </w:rPr>
        <w:t>Hypothesis: The locked-vault concept works when the viewer first recognizes the old failed test. The strongest cold opener starts with the moment he quit, blamed himself, and never checked whether the dose made the test unfair.</w:t>
      </w:r>
    </w:p>
    <w:p>
      <w:pPr>
        <w:spacing w:before="400" w:after="80"/>
      </w:pPr>
      <w:r>
        <w:rPr>
          <w:rFonts w:ascii="Arial" w:hAnsi="Arial"/>
          <w:b/>
          <w:color w:val="0074FE"/>
          <w:sz w:val="28"/>
        </w:rPr>
        <w:t>Inspiration and editing</w:t>
      </w:r>
    </w:p>
    <w:p>
      <w:pPr>
        <w:spacing w:before="80" w:after="80"/>
      </w:pPr>
      <w:r/>
      <w:r>
        <w:rPr>
          <w:rFonts w:ascii="Arial" w:hAnsi="Arial"/>
          <w:sz w:val="20"/>
        </w:rPr>
        <w:t>Concept inspo: Half-used bottle, bathroom cabinet, locked vault, amber key, mitochondrial gate, serving-size cards, real product on counter.</w:t>
      </w:r>
    </w:p>
    <w:p>
      <w:pPr>
        <w:spacing w:before="80" w:after="80"/>
      </w:pPr>
      <w:r/>
      <w:r>
        <w:rPr>
          <w:rFonts w:ascii="Arial" w:hAnsi="Arial"/>
          <w:sz w:val="20"/>
        </w:rPr>
        <w:t>Cast type: HeyGen presenter with cinematic AI b-roll and real product photography.</w:t>
      </w:r>
    </w:p>
    <w:p>
      <w:pPr>
        <w:spacing w:before="80" w:after="80"/>
      </w:pPr>
      <w:r/>
      <w:r>
        <w:rPr>
          <w:rFonts w:ascii="Arial" w:hAnsi="Arial"/>
          <w:sz w:val="20"/>
        </w:rPr>
        <w:t>AI avatar look: Male, 38 to 45, understated, clean but lived-in. Neutral kitchen or study. Simple dark overshirt or crewneck. Calm strategist energy, no doctor coat.</w:t>
      </w:r>
    </w:p>
    <w:p>
      <w:pPr>
        <w:spacing w:before="80" w:after="80"/>
      </w:pPr>
      <w:r/>
      <w:r>
        <w:rPr>
          <w:rFonts w:ascii="Arial" w:hAnsi="Arial"/>
          <w:sz w:val="20"/>
        </w:rPr>
        <w:t>Pacing: Private behavior hook, label mystery, mechanism reveal, dose card, product hold, soft click.</w:t>
      </w:r>
    </w:p>
    <w:p>
      <w:pPr>
        <w:spacing w:before="80" w:after="80"/>
      </w:pPr>
      <w:r/>
      <w:r>
        <w:rPr>
          <w:rFonts w:ascii="Arial" w:hAnsi="Arial"/>
          <w:sz w:val="20"/>
        </w:rPr>
        <w:t>Main emotion: Vindication. The viewer should feel the old bottle may have been a weak test, not a final answer.</w:t>
      </w:r>
    </w:p>
    <w:p>
      <w:pPr>
        <w:spacing w:before="80" w:after="80"/>
      </w:pPr>
      <w:r/>
      <w:r>
        <w:rPr>
          <w:rFonts w:ascii="Arial" w:hAnsi="Arial"/>
          <w:sz w:val="20"/>
        </w:rPr>
        <w:t>Voiceover: Low, plain, and forensic. Read the script column as written. No extra explainer copy.</w:t>
      </w:r>
    </w:p>
    <w:p>
      <w:pPr>
        <w:spacing w:before="80" w:after="80"/>
      </w:pPr>
      <w:r/>
      <w:r>
        <w:rPr>
          <w:rFonts w:ascii="Arial" w:hAnsi="Arial"/>
          <w:sz w:val="20"/>
        </w:rPr>
        <w:t>Music: Sparse low pulse at minus 18dB. Drop under the final label line.</w:t>
      </w:r>
    </w:p>
    <w:p>
      <w:pPr>
        <w:spacing w:before="80" w:after="80"/>
      </w:pPr>
      <w:r/>
      <w:r>
        <w:rPr>
          <w:rFonts w:ascii="Arial" w:hAnsi="Arial"/>
          <w:sz w:val="20"/>
        </w:rPr>
        <w:t>Caption style: Manual burned-in captions. Six words per frame maximum. Amber only for key, gate, and dose-card moments.</w:t>
      </w:r>
    </w:p>
    <w:p>
      <w:pPr>
        <w:spacing w:before="80" w:after="80"/>
      </w:pPr>
      <w:r/>
      <w:r>
        <w:rPr>
          <w:rFonts w:ascii="Arial" w:hAnsi="Arial"/>
          <w:sz w:val="20"/>
        </w:rPr>
        <w:t>Overall direction: Use one hook, then continue through the body rows in order. The ad should feel like a quiet re-reading of the bottle he already gave up on: same gym, same diet, different biology.</w:t>
      </w:r>
    </w:p>
    <w:p>
      <w:pPr>
        <w:spacing w:before="80" w:after="80"/>
      </w:pPr>
      <w:r/>
      <w:r>
        <w:rPr>
          <w:rFonts w:ascii="Arial" w:hAnsi="Arial"/>
          <w:sz w:val="20"/>
        </w:rPr>
        <w:t>Editing notes: Use cabinet, label, dose card, vault, and mitochondria visuals. Avoid body photos, scale imagery, before-after comparisons, doctor visuals, panic urgency, and template effects. Keep the bottle real.</w:t>
      </w:r>
    </w:p>
    <w:p>
      <w:pPr>
        <w:spacing w:before="400" w:after="80"/>
      </w:pPr>
      <w:r>
        <w:rPr>
          <w:rFonts w:ascii="Arial" w:hAnsi="Arial"/>
          <w:b/>
          <w:color w:val="0074FE"/>
          <w:sz w:val="28"/>
        </w:rPr>
        <w:t>Script</w:t>
      </w:r>
    </w:p>
    <w:p>
      <w:pPr>
        <w:spacing w:before="80" w:after="80"/>
      </w:pPr>
      <w:r/>
      <w:r>
        <w:rPr>
          <w:rFonts w:ascii="Arial" w:hAnsi="Arial"/>
          <w:sz w:val="20"/>
        </w:rPr>
        <w:t>Format: Video, 9:16, 30 seconds. Optional 6-card static carousel using the serving-size contrast.</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fill="0074FE"/>
            <w:tcBorders>
              <w:top w:val="single" w:sz="4" w:color="CCCCCC"/>
              <w:left w:val="single" w:sz="4" w:color="CCCCCC"/>
              <w:bottom w:val="single" w:sz="4" w:color="CCCCCC"/>
              <w:right w:val="single" w:sz="4" w:color="CCCCCC"/>
            </w:tcBorders>
          </w:tcPr>
          <w:p>
            <w:r>
              <w:rPr>
                <w:b/>
                <w:color w:val="FFFFFF"/>
                <w:sz w:val="22"/>
              </w:rPr>
              <w:t>Visual / editing notes</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Section</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Script</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On-screen text</w:t>
            </w:r>
          </w:p>
        </w:tc>
      </w:tr>
      <w:tr>
        <w:tc>
          <w:tcPr>
            <w:tcW w:type="dxa" w:w="2493"/>
          </w:tcPr>
          <w:p>
            <w:pPr>
              <w:jc w:val="left"/>
            </w:pPr>
            <w:r/>
            <w:r>
              <w:rPr>
                <w:rFonts w:ascii="Arial" w:hAnsi="Arial"/>
                <w:sz w:val="18"/>
              </w:rPr>
              <w:t>Bathroom cabinet. Half-used L-carnitine bottle. Thumb turns the old label toward camera.</w:t>
            </w:r>
          </w:p>
        </w:tc>
        <w:tc>
          <w:tcPr>
            <w:tcW w:type="dxa" w:w="2493"/>
          </w:tcPr>
          <w:p>
            <w:pPr>
              <w:jc w:val="left"/>
            </w:pPr>
            <w:r/>
            <w:r>
              <w:rPr>
                <w:rFonts w:ascii="Arial" w:hAnsi="Arial"/>
                <w:sz w:val="18"/>
              </w:rPr>
              <w:t>Hook 1</w:t>
            </w:r>
          </w:p>
        </w:tc>
        <w:tc>
          <w:tcPr>
            <w:tcW w:type="dxa" w:w="2493"/>
          </w:tcPr>
          <w:p>
            <w:pPr>
              <w:jc w:val="left"/>
            </w:pPr>
            <w:r/>
            <w:r>
              <w:rPr>
                <w:rFonts w:ascii="Arial" w:hAnsi="Arial"/>
                <w:sz w:val="18"/>
              </w:rPr>
              <w:t>He tried L-carnitine once. Quit at week three. The bottle got blamed. The dose never went on trial.</w:t>
            </w:r>
          </w:p>
        </w:tc>
        <w:tc>
          <w:tcPr>
            <w:tcW w:type="dxa" w:w="2493"/>
          </w:tcPr>
          <w:p>
            <w:pPr>
              <w:jc w:val="left"/>
            </w:pPr>
            <w:r/>
            <w:r>
              <w:rPr>
                <w:rFonts w:ascii="Arial" w:hAnsi="Arial"/>
                <w:sz w:val="18"/>
              </w:rPr>
              <w:t>WEEK THREE WASN'T THE TEST</w:t>
            </w:r>
          </w:p>
        </w:tc>
      </w:tr>
      <w:tr>
        <w:tc>
          <w:tcPr>
            <w:tcW w:type="dxa" w:w="2493"/>
          </w:tcPr>
          <w:p>
            <w:pPr>
              <w:jc w:val="left"/>
            </w:pPr>
            <w:r/>
            <w:r>
              <w:rPr>
                <w:rFonts w:ascii="Arial" w:hAnsi="Arial"/>
                <w:sz w:val="18"/>
              </w:rPr>
              <w:t>Gym bag, food scale, old bottle. Cut fast, no body-shot transformation.</w:t>
            </w:r>
          </w:p>
        </w:tc>
        <w:tc>
          <w:tcPr>
            <w:tcW w:type="dxa" w:w="2493"/>
          </w:tcPr>
          <w:p>
            <w:pPr>
              <w:jc w:val="left"/>
            </w:pPr>
            <w:r/>
            <w:r>
              <w:rPr>
                <w:rFonts w:ascii="Arial" w:hAnsi="Arial"/>
                <w:sz w:val="18"/>
              </w:rPr>
              <w:t>Hook 2</w:t>
            </w:r>
          </w:p>
        </w:tc>
        <w:tc>
          <w:tcPr>
            <w:tcW w:type="dxa" w:w="2493"/>
          </w:tcPr>
          <w:p>
            <w:pPr>
              <w:jc w:val="left"/>
            </w:pPr>
            <w:r/>
            <w:r>
              <w:rPr>
                <w:rFonts w:ascii="Arial" w:hAnsi="Arial"/>
                <w:sz w:val="18"/>
              </w:rPr>
              <w:t>Same gym. Same diet. Different biology. That half-used bottle never explained the door.</w:t>
            </w:r>
          </w:p>
        </w:tc>
        <w:tc>
          <w:tcPr>
            <w:tcW w:type="dxa" w:w="2493"/>
          </w:tcPr>
          <w:p>
            <w:pPr>
              <w:jc w:val="left"/>
            </w:pPr>
            <w:r/>
            <w:r>
              <w:rPr>
                <w:rFonts w:ascii="Arial" w:hAnsi="Arial"/>
                <w:sz w:val="18"/>
              </w:rPr>
              <w:t>SAME GYM. DIFFERENT BIOLOGY.</w:t>
            </w:r>
          </w:p>
        </w:tc>
      </w:tr>
      <w:tr>
        <w:tc>
          <w:tcPr>
            <w:tcW w:type="dxa" w:w="2493"/>
          </w:tcPr>
          <w:p>
            <w:pPr>
              <w:jc w:val="left"/>
            </w:pPr>
            <w:r/>
            <w:r>
              <w:rPr>
                <w:rFonts w:ascii="Arial" w:hAnsi="Arial"/>
                <w:sz w:val="18"/>
              </w:rPr>
              <w:t>Closed amber vault. Old bottle in foreground, JCKED still hidden.</w:t>
            </w:r>
          </w:p>
        </w:tc>
        <w:tc>
          <w:tcPr>
            <w:tcW w:type="dxa" w:w="2493"/>
          </w:tcPr>
          <w:p>
            <w:pPr>
              <w:jc w:val="left"/>
            </w:pPr>
            <w:r/>
            <w:r>
              <w:rPr>
                <w:rFonts w:ascii="Arial" w:hAnsi="Arial"/>
                <w:sz w:val="18"/>
              </w:rPr>
              <w:t>Hook 3</w:t>
            </w:r>
          </w:p>
        </w:tc>
        <w:tc>
          <w:tcPr>
            <w:tcW w:type="dxa" w:w="2493"/>
          </w:tcPr>
          <w:p>
            <w:pPr>
              <w:jc w:val="left"/>
            </w:pPr>
            <w:r/>
            <w:r>
              <w:rPr>
                <w:rFonts w:ascii="Arial" w:hAnsi="Arial"/>
                <w:sz w:val="18"/>
              </w:rPr>
              <w:t>The ingredient may not have failed him. The key may have been too small.</w:t>
            </w:r>
          </w:p>
        </w:tc>
        <w:tc>
          <w:tcPr>
            <w:tcW w:type="dxa" w:w="2493"/>
          </w:tcPr>
          <w:p>
            <w:pPr>
              <w:jc w:val="left"/>
            </w:pPr>
            <w:r/>
            <w:r>
              <w:rPr>
                <w:rFonts w:ascii="Arial" w:hAnsi="Arial"/>
                <w:sz w:val="18"/>
              </w:rPr>
              <w:t>THE KEY WAS TOO SMALL</w:t>
            </w:r>
          </w:p>
        </w:tc>
      </w:tr>
      <w:tr>
        <w:tc>
          <w:tcPr>
            <w:tcW w:type="dxa" w:w="2493"/>
          </w:tcPr>
          <w:p>
            <w:pPr>
              <w:jc w:val="left"/>
            </w:pPr>
            <w:r/>
            <w:r>
              <w:rPr>
                <w:rFonts w:ascii="Arial" w:hAnsi="Arial"/>
                <w:sz w:val="18"/>
              </w:rPr>
              <w:t>Old supplement shelf. Quick flashes of familiar promise language, then silence.</w:t>
            </w:r>
          </w:p>
        </w:tc>
        <w:tc>
          <w:tcPr>
            <w:tcW w:type="dxa" w:w="2493"/>
          </w:tcPr>
          <w:p>
            <w:pPr>
              <w:jc w:val="left"/>
            </w:pPr>
            <w:r/>
            <w:r>
              <w:rPr>
                <w:rFonts w:ascii="Arial" w:hAnsi="Arial"/>
                <w:sz w:val="18"/>
              </w:rPr>
              <w:t>Avatar wound</w:t>
            </w:r>
          </w:p>
        </w:tc>
        <w:tc>
          <w:tcPr>
            <w:tcW w:type="dxa" w:w="2493"/>
          </w:tcPr>
          <w:p>
            <w:pPr>
              <w:jc w:val="left"/>
            </w:pPr>
            <w:r/>
            <w:r>
              <w:rPr>
                <w:rFonts w:ascii="Arial" w:hAnsi="Arial"/>
                <w:sz w:val="18"/>
              </w:rPr>
              <w:t>He has seen the promises. Faster fat loss. More energy. Fewer crashes. His thumb already knows that ad.</w:t>
            </w:r>
          </w:p>
        </w:tc>
        <w:tc>
          <w:tcPr>
            <w:tcW w:type="dxa" w:w="2493"/>
          </w:tcPr>
          <w:p>
            <w:pPr>
              <w:jc w:val="left"/>
            </w:pPr>
            <w:r/>
            <w:r>
              <w:rPr>
                <w:rFonts w:ascii="Arial" w:hAnsi="Arial"/>
                <w:sz w:val="18"/>
              </w:rPr>
              <w:t>HE'S SEEN THAT AD</w:t>
            </w:r>
          </w:p>
        </w:tc>
      </w:tr>
      <w:tr>
        <w:tc>
          <w:tcPr>
            <w:tcW w:type="dxa" w:w="2493"/>
          </w:tcPr>
          <w:p>
            <w:pPr>
              <w:jc w:val="left"/>
            </w:pPr>
            <w:r/>
            <w:r>
              <w:rPr>
                <w:rFonts w:ascii="Arial" w:hAnsi="Arial"/>
                <w:sz w:val="18"/>
              </w:rPr>
              <w:t>Cinematic vault inside a cell. Fuel sits behind the closed door.</w:t>
            </w:r>
          </w:p>
        </w:tc>
        <w:tc>
          <w:tcPr>
            <w:tcW w:type="dxa" w:w="2493"/>
          </w:tcPr>
          <w:p>
            <w:pPr>
              <w:jc w:val="left"/>
            </w:pPr>
            <w:r/>
            <w:r>
              <w:rPr>
                <w:rFonts w:ascii="Arial" w:hAnsi="Arial"/>
                <w:sz w:val="18"/>
              </w:rPr>
              <w:t>Mechanism</w:t>
            </w:r>
          </w:p>
        </w:tc>
        <w:tc>
          <w:tcPr>
            <w:tcW w:type="dxa" w:w="2493"/>
          </w:tcPr>
          <w:p>
            <w:pPr>
              <w:jc w:val="left"/>
            </w:pPr>
            <w:r/>
            <w:r>
              <w:rPr>
                <w:rFonts w:ascii="Arial" w:hAnsi="Arial"/>
                <w:sz w:val="18"/>
              </w:rPr>
              <w:t>The better question is access. Stored fuel has to reach mitochondria before the body can use it.</w:t>
            </w:r>
          </w:p>
        </w:tc>
        <w:tc>
          <w:tcPr>
            <w:tcW w:type="dxa" w:w="2493"/>
          </w:tcPr>
          <w:p>
            <w:pPr>
              <w:jc w:val="left"/>
            </w:pPr>
            <w:r/>
            <w:r>
              <w:rPr>
                <w:rFonts w:ascii="Arial" w:hAnsi="Arial"/>
                <w:sz w:val="18"/>
              </w:rPr>
              <w:t>THE QUESTION IS ACCESS</w:t>
            </w:r>
          </w:p>
        </w:tc>
      </w:tr>
      <w:tr>
        <w:tc>
          <w:tcPr>
            <w:tcW w:type="dxa" w:w="2493"/>
          </w:tcPr>
          <w:p>
            <w:pPr>
              <w:jc w:val="left"/>
            </w:pPr>
            <w:r/>
            <w:r>
              <w:rPr>
                <w:rFonts w:ascii="Arial" w:hAnsi="Arial"/>
                <w:sz w:val="18"/>
              </w:rPr>
              <w:t>Amber key reaches the gate. Keep it metaphorical and editorial.</w:t>
            </w:r>
          </w:p>
        </w:tc>
        <w:tc>
          <w:tcPr>
            <w:tcW w:type="dxa" w:w="2493"/>
          </w:tcPr>
          <w:p>
            <w:pPr>
              <w:jc w:val="left"/>
            </w:pPr>
            <w:r/>
            <w:r>
              <w:rPr>
                <w:rFonts w:ascii="Arial" w:hAnsi="Arial"/>
                <w:sz w:val="18"/>
              </w:rPr>
              <w:t>Vault turn</w:t>
            </w:r>
          </w:p>
        </w:tc>
        <w:tc>
          <w:tcPr>
            <w:tcW w:type="dxa" w:w="2493"/>
          </w:tcPr>
          <w:p>
            <w:pPr>
              <w:jc w:val="left"/>
            </w:pPr>
            <w:r/>
            <w:r>
              <w:rPr>
                <w:rFonts w:ascii="Arial" w:hAnsi="Arial"/>
                <w:sz w:val="18"/>
              </w:rPr>
              <w:t>That is the locked vault: door, key, fuel. L-carnitine is part of the transport step.</w:t>
            </w:r>
          </w:p>
        </w:tc>
        <w:tc>
          <w:tcPr>
            <w:tcW w:type="dxa" w:w="2493"/>
          </w:tcPr>
          <w:p>
            <w:pPr>
              <w:jc w:val="left"/>
            </w:pPr>
            <w:r/>
            <w:r>
              <w:rPr>
                <w:rFonts w:ascii="Arial" w:hAnsi="Arial"/>
                <w:sz w:val="18"/>
              </w:rPr>
              <w:t>DOOR. KEY. FUEL.</w:t>
            </w:r>
          </w:p>
        </w:tc>
      </w:tr>
      <w:tr>
        <w:tc>
          <w:tcPr>
            <w:tcW w:type="dxa" w:w="2493"/>
          </w:tcPr>
          <w:p>
            <w:pPr>
              <w:jc w:val="left"/>
            </w:pPr>
            <w:r/>
            <w:r>
              <w:rPr>
                <w:rFonts w:ascii="Arial" w:hAnsi="Arial"/>
                <w:sz w:val="18"/>
              </w:rPr>
              <w:t>Two label cards. Left card says old label. Right card shows JCKED 4,000mg / 15mL.</w:t>
            </w:r>
          </w:p>
        </w:tc>
        <w:tc>
          <w:tcPr>
            <w:tcW w:type="dxa" w:w="2493"/>
          </w:tcPr>
          <w:p>
            <w:pPr>
              <w:jc w:val="left"/>
            </w:pPr>
            <w:r/>
            <w:r>
              <w:rPr>
                <w:rFonts w:ascii="Arial" w:hAnsi="Arial"/>
                <w:sz w:val="18"/>
              </w:rPr>
              <w:t>Dose contrast</w:t>
            </w:r>
          </w:p>
        </w:tc>
        <w:tc>
          <w:tcPr>
            <w:tcW w:type="dxa" w:w="2493"/>
          </w:tcPr>
          <w:p>
            <w:pPr>
              <w:jc w:val="left"/>
            </w:pPr>
            <w:r/>
            <w:r>
              <w:rPr>
                <w:rFonts w:ascii="Arial" w:hAnsi="Arial"/>
                <w:sz w:val="18"/>
              </w:rPr>
              <w:t>If the old label says 500mg, the test changed. JCKED gives 4,000mg in 15mL.</w:t>
            </w:r>
          </w:p>
        </w:tc>
        <w:tc>
          <w:tcPr>
            <w:tcW w:type="dxa" w:w="2493"/>
          </w:tcPr>
          <w:p>
            <w:pPr>
              <w:jc w:val="left"/>
            </w:pPr>
            <w:r/>
            <w:r>
              <w:rPr>
                <w:rFonts w:ascii="Arial" w:hAnsi="Arial"/>
                <w:sz w:val="18"/>
              </w:rPr>
              <w:t>500MG VS 4,000MG</w:t>
            </w:r>
          </w:p>
        </w:tc>
      </w:tr>
      <w:tr>
        <w:tc>
          <w:tcPr>
            <w:tcW w:type="dxa" w:w="2493"/>
          </w:tcPr>
          <w:p>
            <w:pPr>
              <w:jc w:val="left"/>
            </w:pPr>
            <w:r/>
            <w:r>
              <w:rPr>
                <w:rFonts w:ascii="Arial" w:hAnsi="Arial"/>
                <w:sz w:val="18"/>
              </w:rPr>
              <w:t>Real JCKED bottle on a counter. No urgency graphics. Hold the label.</w:t>
            </w:r>
          </w:p>
        </w:tc>
        <w:tc>
          <w:tcPr>
            <w:tcW w:type="dxa" w:w="2493"/>
          </w:tcPr>
          <w:p>
            <w:pPr>
              <w:jc w:val="left"/>
            </w:pPr>
            <w:r/>
            <w:r>
              <w:rPr>
                <w:rFonts w:ascii="Arial" w:hAnsi="Arial"/>
                <w:sz w:val="18"/>
              </w:rPr>
              <w:t>Product reveal</w:t>
            </w:r>
          </w:p>
        </w:tc>
        <w:tc>
          <w:tcPr>
            <w:tcW w:type="dxa" w:w="2493"/>
          </w:tcPr>
          <w:p>
            <w:pPr>
              <w:jc w:val="left"/>
            </w:pPr>
            <w:r/>
            <w:r>
              <w:rPr>
                <w:rFonts w:ascii="Arial" w:hAnsi="Arial"/>
                <w:sz w:val="18"/>
              </w:rPr>
              <w:t>That is the click: a fairer test before another bottle gets blamed.</w:t>
            </w:r>
          </w:p>
        </w:tc>
        <w:tc>
          <w:tcPr>
            <w:tcW w:type="dxa" w:w="2493"/>
          </w:tcPr>
          <w:p>
            <w:pPr>
              <w:jc w:val="left"/>
            </w:pPr>
            <w:r/>
            <w:r>
              <w:rPr>
                <w:rFonts w:ascii="Arial" w:hAnsi="Arial"/>
                <w:sz w:val="18"/>
              </w:rPr>
              <w:t>A FAIRER TEST</w:t>
            </w:r>
          </w:p>
        </w:tc>
      </w:tr>
      <w:tr>
        <w:tc>
          <w:tcPr>
            <w:tcW w:type="dxa" w:w="2493"/>
          </w:tcPr>
          <w:p>
            <w:pPr>
              <w:jc w:val="left"/>
            </w:pPr>
            <w:r/>
            <w:r>
              <w:rPr>
                <w:rFonts w:ascii="Arial" w:hAnsi="Arial"/>
                <w:sz w:val="18"/>
              </w:rPr>
              <w:t>Bottle hold. CTA appears after the last word lands.</w:t>
            </w:r>
          </w:p>
        </w:tc>
        <w:tc>
          <w:tcPr>
            <w:tcW w:type="dxa" w:w="2493"/>
          </w:tcPr>
          <w:p>
            <w:pPr>
              <w:jc w:val="left"/>
            </w:pPr>
            <w:r/>
            <w:r>
              <w:rPr>
                <w:rFonts w:ascii="Arial" w:hAnsi="Arial"/>
                <w:sz w:val="18"/>
              </w:rPr>
              <w:t>CTA</w:t>
            </w:r>
          </w:p>
        </w:tc>
        <w:tc>
          <w:tcPr>
            <w:tcW w:type="dxa" w:w="2493"/>
          </w:tcPr>
          <w:p>
            <w:pPr>
              <w:jc w:val="left"/>
            </w:pPr>
            <w:r/>
            <w:r>
              <w:rPr>
                <w:rFonts w:ascii="Arial" w:hAnsi="Arial"/>
                <w:sz w:val="18"/>
              </w:rPr>
              <w:t>Open the product page. Read the serving. Then compare it to the bottle still sitting in the cabinet.</w:t>
            </w:r>
          </w:p>
        </w:tc>
        <w:tc>
          <w:tcPr>
            <w:tcW w:type="dxa" w:w="2493"/>
          </w:tcPr>
          <w:p>
            <w:pPr>
              <w:jc w:val="left"/>
            </w:pPr>
            <w:r/>
            <w:r>
              <w:rPr>
                <w:rFonts w:ascii="Arial" w:hAnsi="Arial"/>
                <w:sz w:val="18"/>
              </w:rPr>
              <w:t>READ THE SERVING</w:t>
            </w:r>
          </w:p>
        </w:tc>
      </w:tr>
    </w:tbl>
    <w:p>
      <w:pPr>
        <w:spacing w:before="400" w:after="80"/>
      </w:pPr>
      <w:r>
        <w:rPr>
          <w:rFonts w:ascii="Arial" w:hAnsi="Arial"/>
          <w:b/>
          <w:color w:val="0074FE"/>
          <w:sz w:val="28"/>
        </w:rPr>
        <w:t>Notes</w:t>
      </w:r>
    </w:p>
    <w:p>
      <w:pPr>
        <w:spacing w:before="80" w:after="80"/>
      </w:pPr>
      <w:r/>
      <w:r>
        <w:rPr>
          <w:rFonts w:ascii="Arial" w:hAnsi="Arial"/>
          <w:sz w:val="20"/>
        </w:rPr>
        <w:t>Note: Structure-function language only. Final edit must match the live PDP and label. Competitor/dose contrast should stay conditional: if the old label says 500mg, the test changed. Avoid hard fat-loss promises, disease claims, personal-attribute callouts, before-after framing, and uncleared competitor claims. Source anchors: JCKED PDP, original TrendScale source brief, NIH ODS Carnitine Health Professional Fact Sheet, and Linus Pauling Institute L-Carnitine.</w:t>
      </w:r>
    </w:p>
    <w:p>
      <w:pPr>
        <w:spacing w:before="560"/>
        <w:jc w:val="center"/>
        <w:pBdr>
          <w:top w:val="single" w:sz="4" w:space="4" w:color="CCCCCC"/>
        </w:pBdr>
      </w:pPr>
      <w:r>
        <w:rPr>
          <w:color w:val="808080"/>
          <w:sz w:val="18"/>
        </w:rPr>
        <w:t>TrendScale  ·  Brief Template v1.3  ·  trendscale.net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