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Bdr>
          <w:bottom w:val="single" w:sz="24" w:space="4" w:color="0074FE"/>
        </w:pBdr>
      </w:pPr>
      <w:r>
        <w:rPr>
          <w:rFonts w:ascii="Arial" w:hAnsi="Arial"/>
          <w:b/>
          <w:color w:val="0074FE"/>
          <w:sz w:val="52"/>
        </w:rPr>
        <w:t>TRENDSCALE BRIEF</w:t>
      </w:r>
    </w:p>
    <w:p>
      <w:pPr>
        <w:spacing w:before="160" w:after="240"/>
      </w:pPr>
      <w:r>
        <w:rPr>
          <w:i/>
          <w:color w:val="808080"/>
          <w:sz w:val="20"/>
        </w:rPr>
        <w:t>Fill the bold fields. Skip anything tagged optional if it does not apply. Add as many script rows as your storyboard needs.</w:t>
      </w:r>
    </w:p>
    <w:p>
      <w:pPr>
        <w:spacing w:before="400" w:after="80"/>
      </w:pPr>
      <w:r>
        <w:rPr>
          <w:rFonts w:ascii="Arial" w:hAnsi="Arial"/>
          <w:b/>
          <w:color w:val="0074FE"/>
          <w:sz w:val="28"/>
        </w:rPr>
        <w:t>Strategic header</w:t>
      </w:r>
    </w:p>
    <w:p>
      <w:pPr>
        <w:spacing w:before="80" w:after="80"/>
      </w:pPr>
      <w:r>
        <w:t>Strategist: Farrice Cain</w:t>
      </w:r>
    </w:p>
    <w:p>
      <w:pPr>
        <w:spacing w:before="80" w:after="80"/>
      </w:pPr>
      <w:r>
        <w:t>Client: PuraVita Magnesium 12-in-1 Complex Capsules</w:t>
      </w:r>
    </w:p>
    <w:p>
      <w:pPr>
        <w:spacing w:before="80" w:after="80"/>
      </w:pPr>
      <w:r>
        <w:t>PDP: https://shoppuravita.com/products/puravita%C2%AE-magnesium-complex</w:t>
      </w:r>
    </w:p>
    <w:p>
      <w:pPr>
        <w:spacing w:before="80" w:after="80"/>
      </w:pPr>
      <w:r>
        <w:t>Media buyer notes: Quiet editorial cold-traffic test. Lead with recognition, not magnesium education. Avoid cure language, certainty about depletion, influencer references, serving-direction claims, and only-formula claims unless cleared.</w:t>
      </w:r>
    </w:p>
    <w:p>
      <w:pPr>
        <w:spacing w:before="80" w:after="80"/>
      </w:pPr>
      <w:r>
        <w:t>Concept type: Iteration</w:t>
      </w:r>
    </w:p>
    <w:p>
      <w:pPr>
        <w:spacing w:before="80" w:after="80"/>
      </w:pPr>
      <w:r>
        <w:t>Iterated from: The Battery You Can't See</w:t>
      </w:r>
    </w:p>
    <w:p>
      <w:pPr>
        <w:spacing w:before="80" w:after="80"/>
      </w:pPr>
      <w:r>
        <w:t>Avatar: Male 38 to 62, sweet spot 45 to 55, recently told his bloodwork looks fine but still feels off, and is looking for an answer before his family starts managing him.</w:t>
      </w:r>
    </w:p>
    <w:p>
      <w:pPr>
        <w:spacing w:before="80" w:after="80"/>
      </w:pPr>
      <w:r>
        <w:t>Awareness level: Unaware to Problem</w:t>
      </w:r>
    </w:p>
    <w:p>
      <w:pPr>
        <w:spacing w:before="80" w:after="80"/>
      </w:pPr>
      <w:r>
        <w:t>Hypothesis: If the ad starts with the phone battery metaphor and the normal-bloodwork gap, the buyer will inspect the magnesium form list as a possible missing signal instead of hearing another sleep supplement pitch.</w:t>
      </w:r>
    </w:p>
    <w:p>
      <w:pPr>
        <w:spacing w:before="400" w:after="80"/>
      </w:pPr>
      <w:r>
        <w:rPr>
          <w:rFonts w:ascii="Arial" w:hAnsi="Arial"/>
          <w:b/>
          <w:color w:val="0074FE"/>
          <w:sz w:val="28"/>
        </w:rPr>
        <w:t>Inspiration and editing</w:t>
      </w:r>
    </w:p>
    <w:p>
      <w:pPr>
        <w:spacing w:before="80" w:after="80"/>
      </w:pPr>
      <w:r>
        <w:t>Concept inspo: Phone at 5 percent, nightstand at dawn, hand only, normal lab report, warm kitchen, coffee on counter, soft body-map glow, serum window, 12 form cards around real bottle.</w:t>
      </w:r>
    </w:p>
    <w:p>
      <w:pPr>
        <w:spacing w:before="80" w:after="80"/>
      </w:pPr>
      <w:r>
        <w:t>Cast type: AI UGC</w:t>
      </w:r>
    </w:p>
    <w:p>
      <w:pPr>
        <w:spacing w:before="80" w:after="80"/>
      </w:pPr>
      <w:r>
        <w:t>AI avatar look: Male 45 to 50, weathered-handsome, gray at temples, soft kitchen light, still hands, no sales smile.</w:t>
      </w:r>
    </w:p>
    <w:p>
      <w:pPr>
        <w:spacing w:before="80" w:after="80"/>
      </w:pPr>
      <w:r>
        <w:t>Pacing: slow</w:t>
      </w:r>
    </w:p>
    <w:p>
      <w:pPr>
        <w:spacing w:before="80" w:after="80"/>
      </w:pPr>
      <w:r>
        <w:t>Main emotion: Quiet recognition that fine may not be the whole answer.</w:t>
      </w:r>
    </w:p>
    <w:p>
      <w:pPr>
        <w:spacing w:before="80" w:after="80"/>
      </w:pPr>
      <w:r>
        <w:t>Voiceover: Restrained HeyGen narration, calm and human, no guru authority drop.</w:t>
      </w:r>
    </w:p>
    <w:p>
      <w:pPr>
        <w:spacing w:before="80" w:after="80"/>
      </w:pPr>
      <w:r>
        <w:t>Music: Sparse piano, low mix, silence under the final line.</w:t>
      </w:r>
    </w:p>
    <w:p>
      <w:pPr>
        <w:spacing w:before="80" w:after="80"/>
      </w:pPr>
      <w:r>
        <w:t>Caption style: Burned-in sans-serif, bottom third, six words or fewer when possible.</w:t>
      </w:r>
    </w:p>
    <w:p>
      <w:pPr>
        <w:spacing w:before="80" w:after="80"/>
      </w:pPr>
      <w:r>
        <w:t>Overall direction: Editorial science-cover feel with deep navy shadows and sage-green highlights. Product bottle photographed, with form-card graphics only as overlays.</w:t>
      </w:r>
    </w:p>
    <w:p>
      <w:pPr>
        <w:spacing w:before="80" w:after="80"/>
      </w:pPr>
      <w:r>
        <w:t>Editing notes: Start with the phone battery and normal morning scene. Move to the lab-report gap before the body-map metaphor. Keep production direction out of Script cells. Product reveal should be the 12-form label inspection, not a promise of sleep, energy, or recovery.</w:t>
      </w:r>
    </w:p>
    <w:p>
      <w:pPr>
        <w:spacing w:before="400" w:after="80"/>
      </w:pPr>
      <w:r>
        <w:rPr>
          <w:rFonts w:ascii="Arial" w:hAnsi="Arial"/>
          <w:b/>
          <w:color w:val="0074FE"/>
          <w:sz w:val="28"/>
        </w:rPr>
        <w:t>Script</w:t>
      </w:r>
    </w:p>
    <w:p>
      <w:pPr>
        <w:spacing w:before="80" w:after="80"/>
      </w:pPr>
      <w:r>
        <w:t>Format: Video</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fill="0074FE"/>
            <w:tcBorders>
              <w:top w:val="single" w:sz="4" w:color="CCCCCC"/>
              <w:left w:val="single" w:sz="4" w:color="CCCCCC"/>
              <w:bottom w:val="single" w:sz="4" w:color="CCCCCC"/>
              <w:right w:val="single" w:sz="4" w:color="CCCCCC"/>
            </w:tcBorders>
          </w:tcPr>
          <w:p>
            <w:r>
              <w:rPr>
                <w:b/>
                <w:color w:val="FFFFFF"/>
                <w:sz w:val="22"/>
              </w:rPr>
              <w:t>Visual / editing notes</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Section</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Script</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On-screen text</w:t>
            </w:r>
          </w:p>
        </w:tc>
      </w:tr>
      <w:tr>
        <w:tc>
          <w:tcPr>
            <w:tcW w:type="dxa" w:w="2493"/>
            <w:shd w:val="clear" w:fill="FFFFFF"/>
            <w:tcBorders>
              <w:top w:val="single" w:sz="4" w:color="CCCCCC"/>
              <w:left w:val="single" w:sz="4" w:color="CCCCCC"/>
              <w:bottom w:val="single" w:sz="4" w:color="CCCCCC"/>
              <w:right w:val="single" w:sz="4" w:color="CCCCCC"/>
            </w:tcBorders>
          </w:tcPr>
          <w:p>
            <w:r>
              <w:t>Phone at 5 percent on a nightstand at dawn. Hand reaches in. Hand only, never face.</w:t>
            </w:r>
          </w:p>
        </w:tc>
        <w:tc>
          <w:tcPr>
            <w:tcW w:type="dxa" w:w="2493"/>
            <w:shd w:val="clear" w:fill="FFFFFF"/>
            <w:tcBorders>
              <w:top w:val="single" w:sz="4" w:color="CCCCCC"/>
              <w:left w:val="single" w:sz="4" w:color="CCCCCC"/>
              <w:bottom w:val="single" w:sz="4" w:color="CCCCCC"/>
              <w:right w:val="single" w:sz="4" w:color="CCCCCC"/>
            </w:tcBorders>
          </w:tcPr>
          <w:p>
            <w:r>
              <w:t>Hook 1</w:t>
            </w:r>
          </w:p>
        </w:tc>
        <w:tc>
          <w:tcPr>
            <w:tcW w:type="dxa" w:w="2493"/>
            <w:shd w:val="clear" w:fill="FFFFFF"/>
            <w:tcBorders>
              <w:top w:val="single" w:sz="4" w:color="CCCCCC"/>
              <w:left w:val="single" w:sz="4" w:color="CCCCCC"/>
              <w:bottom w:val="single" w:sz="4" w:color="CCCCCC"/>
              <w:right w:val="single" w:sz="4" w:color="CCCCCC"/>
            </w:tcBorders>
          </w:tcPr>
          <w:p>
            <w:r>
              <w:t>Your phone tells you when it is at five percent. Your body does not.</w:t>
            </w:r>
          </w:p>
        </w:tc>
        <w:tc>
          <w:tcPr>
            <w:tcW w:type="dxa" w:w="2493"/>
            <w:shd w:val="clear" w:fill="FFFFFF"/>
            <w:tcBorders>
              <w:top w:val="single" w:sz="4" w:color="CCCCCC"/>
              <w:left w:val="single" w:sz="4" w:color="CCCCCC"/>
              <w:bottom w:val="single" w:sz="4" w:color="CCCCCC"/>
              <w:right w:val="single" w:sz="4" w:color="CCCCCC"/>
            </w:tcBorders>
          </w:tcPr>
          <w:p>
            <w:r>
              <w:t>No warning light</w:t>
            </w:r>
          </w:p>
        </w:tc>
      </w:tr>
      <w:tr>
        <w:tc>
          <w:tcPr>
            <w:tcW w:type="dxa" w:w="2493"/>
            <w:shd w:val="clear" w:fill="FFFFFF"/>
            <w:tcBorders>
              <w:top w:val="single" w:sz="4" w:color="CCCCCC"/>
              <w:left w:val="single" w:sz="4" w:color="CCCCCC"/>
              <w:bottom w:val="single" w:sz="4" w:color="CCCCCC"/>
              <w:right w:val="single" w:sz="4" w:color="CCCCCC"/>
            </w:tcBorders>
          </w:tcPr>
          <w:p>
            <w:r>
              <w:t>Normal lab report on kitchen counter beside untouched coffee.</w:t>
            </w:r>
          </w:p>
        </w:tc>
        <w:tc>
          <w:tcPr>
            <w:tcW w:type="dxa" w:w="2493"/>
            <w:shd w:val="clear" w:fill="FFFFFF"/>
            <w:tcBorders>
              <w:top w:val="single" w:sz="4" w:color="CCCCCC"/>
              <w:left w:val="single" w:sz="4" w:color="CCCCCC"/>
              <w:bottom w:val="single" w:sz="4" w:color="CCCCCC"/>
              <w:right w:val="single" w:sz="4" w:color="CCCCCC"/>
            </w:tcBorders>
          </w:tcPr>
          <w:p>
            <w:r>
              <w:t>Hook 2</w:t>
            </w:r>
          </w:p>
        </w:tc>
        <w:tc>
          <w:tcPr>
            <w:tcW w:type="dxa" w:w="2493"/>
            <w:shd w:val="clear" w:fill="FFFFFF"/>
            <w:tcBorders>
              <w:top w:val="single" w:sz="4" w:color="CCCCCC"/>
              <w:left w:val="single" w:sz="4" w:color="CCCCCC"/>
              <w:bottom w:val="single" w:sz="4" w:color="CCCCCC"/>
              <w:right w:val="single" w:sz="4" w:color="CCCCCC"/>
            </w:tcBorders>
          </w:tcPr>
          <w:p>
            <w:r>
              <w:t>Bloodwork can look normal while the answer is still hiding.</w:t>
            </w:r>
          </w:p>
        </w:tc>
        <w:tc>
          <w:tcPr>
            <w:tcW w:type="dxa" w:w="2493"/>
            <w:shd w:val="clear" w:fill="FFFFFF"/>
            <w:tcBorders>
              <w:top w:val="single" w:sz="4" w:color="CCCCCC"/>
              <w:left w:val="single" w:sz="4" w:color="CCCCCC"/>
              <w:bottom w:val="single" w:sz="4" w:color="CCCCCC"/>
              <w:right w:val="single" w:sz="4" w:color="CCCCCC"/>
            </w:tcBorders>
          </w:tcPr>
          <w:p>
            <w:r>
              <w:t>Normal is not complete</w:t>
            </w:r>
          </w:p>
        </w:tc>
      </w:tr>
      <w:tr>
        <w:tc>
          <w:tcPr>
            <w:tcW w:type="dxa" w:w="2493"/>
            <w:shd w:val="clear" w:fill="FFFFFF"/>
            <w:tcBorders>
              <w:top w:val="single" w:sz="4" w:color="CCCCCC"/>
              <w:left w:val="single" w:sz="4" w:color="CCCCCC"/>
              <w:bottom w:val="single" w:sz="4" w:color="CCCCCC"/>
              <w:right w:val="single" w:sz="4" w:color="CCCCCC"/>
            </w:tcBorders>
          </w:tcPr>
          <w:p>
            <w:r>
              <w:t>Morning kitchen. A man pauses near the coffee. No face. No tired-stock acting.</w:t>
            </w:r>
          </w:p>
        </w:tc>
        <w:tc>
          <w:tcPr>
            <w:tcW w:type="dxa" w:w="2493"/>
            <w:shd w:val="clear" w:fill="FFFFFF"/>
            <w:tcBorders>
              <w:top w:val="single" w:sz="4" w:color="CCCCCC"/>
              <w:left w:val="single" w:sz="4" w:color="CCCCCC"/>
              <w:bottom w:val="single" w:sz="4" w:color="CCCCCC"/>
              <w:right w:val="single" w:sz="4" w:color="CCCCCC"/>
            </w:tcBorders>
          </w:tcPr>
          <w:p>
            <w:r>
              <w:t>Hook 3</w:t>
            </w:r>
          </w:p>
        </w:tc>
        <w:tc>
          <w:tcPr>
            <w:tcW w:type="dxa" w:w="2493"/>
            <w:shd w:val="clear" w:fill="FFFFFF"/>
            <w:tcBorders>
              <w:top w:val="single" w:sz="4" w:color="CCCCCC"/>
              <w:left w:val="single" w:sz="4" w:color="CCCCCC"/>
              <w:bottom w:val="single" w:sz="4" w:color="CCCCCC"/>
              <w:right w:val="single" w:sz="4" w:color="CCCCCC"/>
            </w:tcBorders>
          </w:tcPr>
          <w:p>
            <w:r>
              <w:t>That fine lab report does not always explain the way the morning feels.</w:t>
            </w:r>
          </w:p>
        </w:tc>
        <w:tc>
          <w:tcPr>
            <w:tcW w:type="dxa" w:w="2493"/>
            <w:shd w:val="clear" w:fill="FFFFFF"/>
            <w:tcBorders>
              <w:top w:val="single" w:sz="4" w:color="CCCCCC"/>
              <w:left w:val="single" w:sz="4" w:color="CCCCCC"/>
              <w:bottom w:val="single" w:sz="4" w:color="CCCCCC"/>
              <w:right w:val="single" w:sz="4" w:color="CCCCCC"/>
            </w:tcBorders>
          </w:tcPr>
          <w:p>
            <w:r>
              <w:t>Fine on paper</w:t>
            </w:r>
          </w:p>
        </w:tc>
      </w:tr>
      <w:tr>
        <w:tc>
          <w:tcPr>
            <w:tcW w:type="dxa" w:w="2493"/>
            <w:shd w:val="clear" w:fill="FFFFFF"/>
            <w:tcBorders>
              <w:top w:val="single" w:sz="4" w:color="CCCCCC"/>
              <w:left w:val="single" w:sz="4" w:color="CCCCCC"/>
              <w:bottom w:val="single" w:sz="4" w:color="CCCCCC"/>
              <w:right w:val="single" w:sz="4" w:color="CCCCCC"/>
            </w:tcBorders>
          </w:tcPr>
          <w:p>
            <w:r>
              <w:t>HeyGen avatar in warm kitchen light, direct to camera, still hands.</w:t>
            </w:r>
          </w:p>
        </w:tc>
        <w:tc>
          <w:tcPr>
            <w:tcW w:type="dxa" w:w="2493"/>
            <w:shd w:val="clear" w:fill="FFFFFF"/>
            <w:tcBorders>
              <w:top w:val="single" w:sz="4" w:color="CCCCCC"/>
              <w:left w:val="single" w:sz="4" w:color="CCCCCC"/>
              <w:bottom w:val="single" w:sz="4" w:color="CCCCCC"/>
              <w:right w:val="single" w:sz="4" w:color="CCCCCC"/>
            </w:tcBorders>
          </w:tcPr>
          <w:p>
            <w:r>
              <w:t>Buyer wound</w:t>
            </w:r>
          </w:p>
        </w:tc>
        <w:tc>
          <w:tcPr>
            <w:tcW w:type="dxa" w:w="2493"/>
            <w:shd w:val="clear" w:fill="FFFFFF"/>
            <w:tcBorders>
              <w:top w:val="single" w:sz="4" w:color="CCCCCC"/>
              <w:left w:val="single" w:sz="4" w:color="CCCCCC"/>
              <w:bottom w:val="single" w:sz="4" w:color="CCCCCC"/>
              <w:right w:val="single" w:sz="4" w:color="CCCCCC"/>
            </w:tcBorders>
          </w:tcPr>
          <w:p>
            <w:r>
              <w:t>He is not shopping for magnesium. He is trying to explain why fine does not feel fine.</w:t>
            </w:r>
          </w:p>
        </w:tc>
        <w:tc>
          <w:tcPr>
            <w:tcW w:type="dxa" w:w="2493"/>
            <w:shd w:val="clear" w:fill="FFFFFF"/>
            <w:tcBorders>
              <w:top w:val="single" w:sz="4" w:color="CCCCCC"/>
              <w:left w:val="single" w:sz="4" w:color="CCCCCC"/>
              <w:bottom w:val="single" w:sz="4" w:color="CCCCCC"/>
              <w:right w:val="single" w:sz="4" w:color="CCCCCC"/>
            </w:tcBorders>
          </w:tcPr>
          <w:p>
            <w:r>
              <w:t>Looking for an answer</w:t>
            </w:r>
          </w:p>
        </w:tc>
      </w:tr>
      <w:tr>
        <w:tc>
          <w:tcPr>
            <w:tcW w:type="dxa" w:w="2493"/>
          </w:tcPr>
          <w:p>
            <w:r>
              <w:t>Soft body-map glow. Small bloodstream window, then wider body context. Keep it metaphorical.</w:t>
            </w:r>
          </w:p>
        </w:tc>
        <w:tc>
          <w:tcPr>
            <w:tcW w:type="dxa" w:w="2493"/>
          </w:tcPr>
          <w:p>
            <w:r>
              <w:t>Mechanism</w:t>
            </w:r>
          </w:p>
        </w:tc>
        <w:tc>
          <w:tcPr>
            <w:tcW w:type="dxa" w:w="2493"/>
          </w:tcPr>
          <w:p>
            <w:r>
              <w:t>Magnesium supports hundreds of enzyme systems, but most of it is stored outside the blood.</w:t>
            </w:r>
          </w:p>
        </w:tc>
        <w:tc>
          <w:tcPr>
            <w:tcW w:type="dxa" w:w="2493"/>
          </w:tcPr>
          <w:p>
            <w:r>
              <w:t>Beyond the blood test</w:t>
            </w:r>
          </w:p>
        </w:tc>
      </w:tr>
      <w:tr>
        <w:tc>
          <w:tcPr>
            <w:tcW w:type="dxa" w:w="2493"/>
          </w:tcPr>
          <w:p>
            <w:r>
              <w:t>Real bottle on counter. Twelve simple form cards arrange around it.</w:t>
            </w:r>
          </w:p>
        </w:tc>
        <w:tc>
          <w:tcPr>
            <w:tcW w:type="dxa" w:w="2493"/>
          </w:tcPr>
          <w:p>
            <w:r>
              <w:t>Proof or label fact</w:t>
            </w:r>
          </w:p>
        </w:tc>
        <w:tc>
          <w:tcPr>
            <w:tcW w:type="dxa" w:w="2493"/>
          </w:tcPr>
          <w:p>
            <w:r>
              <w:t>PuraVita gives the label a wider test: 12 active magnesium forms in one complex.</w:t>
            </w:r>
          </w:p>
        </w:tc>
        <w:tc>
          <w:tcPr>
            <w:tcW w:type="dxa" w:w="2493"/>
          </w:tcPr>
          <w:p>
            <w:r>
              <w:t>12 active forms</w:t>
            </w:r>
          </w:p>
        </w:tc>
      </w:tr>
      <w:tr>
        <w:tc>
          <w:tcPr>
            <w:tcW w:type="dxa" w:w="2493"/>
          </w:tcPr>
          <w:p>
            <w:r>
              <w:t>Close on label inspection. Compare to a plain single-form bottle without accusation.</w:t>
            </w:r>
          </w:p>
        </w:tc>
        <w:tc>
          <w:tcPr>
            <w:tcW w:type="dxa" w:w="2493"/>
          </w:tcPr>
          <w:p>
            <w:r>
              <w:t>Product reveal</w:t>
            </w:r>
          </w:p>
        </w:tc>
        <w:tc>
          <w:tcPr>
            <w:tcW w:type="dxa" w:w="2493"/>
          </w:tcPr>
          <w:p>
            <w:r>
              <w:t>Instead of betting on one form, he can inspect the whole form list on the bottle.</w:t>
            </w:r>
          </w:p>
        </w:tc>
        <w:tc>
          <w:tcPr>
            <w:tcW w:type="dxa" w:w="2493"/>
          </w:tcPr>
          <w:p>
            <w:r>
              <w:t>Inspect the forms</w:t>
            </w:r>
          </w:p>
        </w:tc>
      </w:tr>
      <w:tr>
        <w:tc>
          <w:tcPr>
            <w:tcW w:type="dxa" w:w="2493"/>
          </w:tcPr>
          <w:p>
            <w:r>
              <w:t>Final product hold. Low-pressure CTA button. Music drops out.</w:t>
            </w:r>
          </w:p>
        </w:tc>
        <w:tc>
          <w:tcPr>
            <w:tcW w:type="dxa" w:w="2493"/>
          </w:tcPr>
          <w:p>
            <w:r>
              <w:t>CTA</w:t>
            </w:r>
          </w:p>
        </w:tc>
        <w:tc>
          <w:tcPr>
            <w:tcW w:type="dxa" w:w="2493"/>
          </w:tcPr>
          <w:p>
            <w:r>
              <w:t>Read the label, compare it with the bottle at home, and decide from there.</w:t>
            </w:r>
          </w:p>
        </w:tc>
        <w:tc>
          <w:tcPr>
            <w:tcW w:type="dxa" w:w="2493"/>
          </w:tcPr>
          <w:p>
            <w:r>
              <w:t>Read. Compare. Decide.</w:t>
            </w:r>
          </w:p>
        </w:tc>
      </w:tr>
    </w:tbl>
    <w:p>
      <w:pPr>
        <w:spacing w:before="400" w:after="80"/>
      </w:pPr>
      <w:r>
        <w:rPr>
          <w:rFonts w:ascii="Arial" w:hAnsi="Arial"/>
          <w:b/>
          <w:color w:val="0074FE"/>
          <w:sz w:val="28"/>
        </w:rPr>
        <w:t>Notes</w:t>
      </w:r>
    </w:p>
    <w:p>
      <w:pPr>
        <w:spacing w:before="80" w:after="80"/>
      </w:pPr>
      <w:r>
        <w:t>Note: Claim guardrails: current PDP scan found PuraVita positioning around a Magnesium 12-in-1 Complex and 12 active magnesium forms. Final label art and Supplement Facts still need brand-side verification before send. Safe script use is form-list inspection and comparison to simpler bottles. Avoid only formula, one-capsule-before-bed, six-to-eight-week result timing, fatigue cure, sleep cure, depletion certainty, and named-influencer claims.</w:t>
      </w:r>
    </w:p>
    <w:p>
      <w:pPr>
        <w:spacing w:before="560"/>
        <w:jc w:val="center"/>
        <w:pBdr>
          <w:top w:val="single" w:sz="4" w:space="4" w:color="CCCCCC"/>
        </w:pBdr>
      </w:pPr>
      <w:r>
        <w:rPr>
          <w:color w:val="808080"/>
          <w:sz w:val="18"/>
        </w:rPr>
        <w:t>TrendScale  ·  Brief Template v1.3  ·  trendscale.net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