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24" w:space="4" w:color="0074FE"/>
        </w:pBdr>
      </w:pPr>
      <w:r>
        <w:rPr>
          <w:rFonts w:ascii="Arial" w:hAnsi="Arial"/>
          <w:b/>
          <w:color w:val="0074FE"/>
          <w:sz w:val="52"/>
        </w:rPr>
        <w:t>TRENDSCALE BRIEF</w:t>
      </w:r>
    </w:p>
    <w:p>
      <w:pPr>
        <w:spacing w:before="160" w:after="240"/>
      </w:pPr>
      <w:r/>
      <w:r>
        <w:rPr>
          <w:rFonts w:ascii="Arial" w:hAnsi="Arial"/>
          <w:sz w:val="20"/>
        </w:rPr>
        <w:t>Client-facing production brief. v3 script-quality pass for founder review and editor handoff.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Strategic header</w:t>
      </w:r>
    </w:p>
    <w:p>
      <w:pPr>
        <w:spacing w:before="80" w:after="80"/>
      </w:pPr>
      <w:r/>
      <w:r>
        <w:rPr>
          <w:rFonts w:ascii="Arial" w:hAnsi="Arial"/>
          <w:sz w:val="20"/>
        </w:rPr>
        <w:t>Strategist: Farrice Cain</w:t>
      </w:r>
    </w:p>
    <w:p>
      <w:pPr>
        <w:spacing w:before="80" w:after="80"/>
      </w:pPr>
      <w:r/>
      <w:r>
        <w:rPr>
          <w:rFonts w:ascii="Arial" w:hAnsi="Arial"/>
          <w:sz w:val="20"/>
        </w:rPr>
        <w:t>Client: Puravita - 12-Form Magnesium Complex</w:t>
      </w:r>
    </w:p>
    <w:p>
      <w:pPr>
        <w:spacing w:before="80" w:after="80"/>
      </w:pPr>
      <w:r/>
      <w:r>
        <w:rPr>
          <w:rFonts w:ascii="Arial" w:hAnsi="Arial"/>
          <w:sz w:val="20"/>
        </w:rPr>
        <w:t>PDP: https://shoppuravita.com/products/puravita%C2%AE-magnesium-complex</w:t>
      </w:r>
    </w:p>
    <w:p>
      <w:pPr>
        <w:spacing w:before="80" w:after="80"/>
      </w:pPr>
      <w:r/>
      <w:r>
        <w:rPr>
          <w:rFonts w:ascii="Arial" w:hAnsi="Arial"/>
          <w:sz w:val="20"/>
        </w:rPr>
        <w:t>Media buyer notes: Control test: hidden-signal metaphor. Lead with the phone or lab-report mismatch, then move to 300+ enzyme systems, the serum-magnesium caveat, form-dependent absorption, and Puravita's 12-form formula.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type: Iteration</w:t>
      </w:r>
    </w:p>
    <w:p>
      <w:pPr>
        <w:spacing w:before="80" w:after="80"/>
      </w:pPr>
      <w:r/>
      <w:r>
        <w:rPr>
          <w:rFonts w:ascii="Arial" w:hAnsi="Arial"/>
          <w:sz w:val="20"/>
        </w:rPr>
        <w:t>Iterated from: The Battery You Can't See control concept.</w:t>
      </w:r>
    </w:p>
    <w:p>
      <w:pPr>
        <w:spacing w:before="80" w:after="80"/>
      </w:pPr>
      <w:r/>
      <w:r>
        <w:rPr>
          <w:rFonts w:ascii="Arial" w:hAnsi="Arial"/>
          <w:sz w:val="20"/>
        </w:rPr>
        <w:t>Avatar: Men 38 to 62, with a 45 to 55 sweet spot. He has normal routines and may have normal labs, but he is trying to explain low-signal drag without turning it into a diagnosis.</w:t>
      </w:r>
    </w:p>
    <w:p>
      <w:pPr>
        <w:spacing w:before="80" w:after="80"/>
      </w:pPr>
      <w:r/>
      <w:r>
        <w:rPr>
          <w:rFonts w:ascii="Arial" w:hAnsi="Arial"/>
          <w:sz w:val="20"/>
        </w:rPr>
        <w:t>Awareness level: Unaware to Problem aware</w:t>
      </w:r>
    </w:p>
    <w:p>
      <w:pPr>
        <w:spacing w:before="80" w:after="80"/>
      </w:pPr>
      <w:r/>
      <w:r>
        <w:rPr>
          <w:rFonts w:ascii="Arial" w:hAnsi="Arial"/>
          <w:sz w:val="20"/>
        </w:rPr>
        <w:t>Hypothesis: Cold traffic will stop for a signal story before a magnesium story. The first image is a familiar warning system: battery or lab result. Then show why magnesium is hard to read from a single surface signal.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Inspiration and editing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inspo: Phone at 5 percent, normal lab panel, kitchen morning, soft body-map glow, serum window card, form cards, quiet product reveal.</w:t>
      </w:r>
    </w:p>
    <w:p>
      <w:pPr>
        <w:spacing w:before="80" w:after="80"/>
      </w:pPr>
      <w:r/>
      <w:r>
        <w:rPr>
          <w:rFonts w:ascii="Arial" w:hAnsi="Arial"/>
          <w:sz w:val="20"/>
        </w:rPr>
        <w:t>Cast type: HeyGen presenter with cinematic AI b-roll and real product photography.</w:t>
      </w:r>
    </w:p>
    <w:p>
      <w:pPr>
        <w:spacing w:before="80" w:after="80"/>
      </w:pPr>
      <w:r/>
      <w:r>
        <w:rPr>
          <w:rFonts w:ascii="Arial" w:hAnsi="Arial"/>
          <w:sz w:val="20"/>
        </w:rPr>
        <w:t>AI avatar look: Male, 45 to 50, understated, slight gray at temples, simple sweater or overshirt, warm kitchen light. Calm and observant.</w:t>
      </w:r>
    </w:p>
    <w:p>
      <w:pPr>
        <w:spacing w:before="80" w:after="80"/>
      </w:pPr>
      <w:r/>
      <w:r>
        <w:rPr>
          <w:rFonts w:ascii="Arial" w:hAnsi="Arial"/>
          <w:sz w:val="20"/>
        </w:rPr>
        <w:t>Pacing: Slow first beat, sharp proof reveal, clean form explanation, quiet product hold.</w:t>
      </w:r>
    </w:p>
    <w:p>
      <w:pPr>
        <w:spacing w:before="80" w:after="80"/>
      </w:pPr>
      <w:r/>
      <w:r>
        <w:rPr>
          <w:rFonts w:ascii="Arial" w:hAnsi="Arial"/>
          <w:sz w:val="20"/>
        </w:rPr>
        <w:t>Main emotion: Private recognition. The viewer should feel that the ad names a missing signal without diagnosing him.</w:t>
      </w:r>
    </w:p>
    <w:p>
      <w:pPr>
        <w:spacing w:before="80" w:after="80"/>
      </w:pPr>
      <w:r/>
      <w:r>
        <w:rPr>
          <w:rFonts w:ascii="Arial" w:hAnsi="Arial"/>
          <w:sz w:val="20"/>
        </w:rPr>
        <w:t>Voiceover: Quiet, grounded, and spare. Keep every sentence easy to caption.</w:t>
      </w:r>
    </w:p>
    <w:p>
      <w:pPr>
        <w:spacing w:before="80" w:after="80"/>
      </w:pPr>
      <w:r/>
      <w:r>
        <w:rPr>
          <w:rFonts w:ascii="Arial" w:hAnsi="Arial"/>
          <w:sz w:val="20"/>
        </w:rPr>
        <w:t>Music: Sparse piano or low ambient bed at minus 18dB. Silence under the final label line.</w:t>
      </w:r>
    </w:p>
    <w:p>
      <w:pPr>
        <w:spacing w:before="80" w:after="80"/>
      </w:pPr>
      <w:r/>
      <w:r>
        <w:rPr>
          <w:rFonts w:ascii="Arial" w:hAnsi="Arial"/>
          <w:sz w:val="20"/>
        </w:rPr>
        <w:t>Caption style: Manual burned-in captions. Six words per frame maximum. Sage for serum/form callouts.</w:t>
      </w:r>
    </w:p>
    <w:p>
      <w:pPr>
        <w:spacing w:before="80" w:after="80"/>
      </w:pPr>
      <w:r/>
      <w:r>
        <w:rPr>
          <w:rFonts w:ascii="Arial" w:hAnsi="Arial"/>
          <w:sz w:val="20"/>
        </w:rPr>
        <w:t>Overall direction: Use one hook, then run the body rows in order. The first half is an invisible-signal story. The second half makes the 12-form label worth reading.</w:t>
      </w:r>
    </w:p>
    <w:p>
      <w:pPr>
        <w:spacing w:before="80" w:after="80"/>
      </w:pPr>
      <w:r/>
      <w:r>
        <w:rPr>
          <w:rFonts w:ascii="Arial" w:hAnsi="Arial"/>
          <w:sz w:val="20"/>
        </w:rPr>
        <w:t>Editing notes: Use hand-only phone b-roll and clean document-style lab visuals. Use a soft body-map glow, not literal anatomy. Avoid exhausted-person stock, doctor coats, disease language, diagnosis, urgency text, and influencer quote cards unless cleared by the client.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Script</w:t>
      </w:r>
    </w:p>
    <w:p>
      <w:pPr>
        <w:spacing w:before="80" w:after="80"/>
      </w:pPr>
      <w:r/>
      <w:r>
        <w:rPr>
          <w:rFonts w:ascii="Arial" w:hAnsi="Arial"/>
          <w:sz w:val="20"/>
        </w:rPr>
        <w:t>Format: Video, 9:16, 35 to 45 seconds. Optional 4:5 static thumbstop using the phone or lab-report hook.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Visual / editing notes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Script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On-screen text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Phone at 5 percent on a nightstand. Dawn light. Hand only, no face.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 phone shows five percent. The body gives no battery icon.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NO BATTERY ICON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Clean lab report slides into frame. The word normal is visible. Coffee sits untouched.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 report says normal. The morning tells a messier story.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NORMAL ON PAPER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Common sleep-ad visuals flicker off. A soft body-map glow replaces them.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Most magnesium ads chase sleep. This one starts earlier: the signal.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START WITH THE SIGNAL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Body map lights up nerves, muscle, and energy icons. Keep it editorial, not medical.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Mechanism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Magnesium supports more than 300 enzyme systems. Muscle. Nerves. Energy metabolism.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300+ ENZYME SYSTEMS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Bloodstream label shows less than 1%. Camera pulls back to bone, muscle, and soft tissue.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Proof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Less than 1% of total body magnesium is in serum. That makes bloodwork a narrow window.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&lt;1% IN SERUM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Formula board. Twelve form cards appear one by one, clean and readable.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Form turn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Forms matter because magnesium supplements do not absorb the same way. Puravita makes the form list the story.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FORM MATTERS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Real Puravita bottle. Twelve form cards settle around the label.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Product reveal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Puravita brings 12 magnesium forms into one formula. That is why the label is worth reading.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12-FORM MAGNESIUM COMPLEX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Bottle and supplement-facts panel. CTA appears after the final sentence.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CTA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Read the form list. Check the label. Learn what each form is doing.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READ THE FORMULA</w:t>
            </w:r>
          </w:p>
        </w:tc>
      </w:tr>
    </w:tbl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Notes</w:t>
      </w:r>
    </w:p>
    <w:p>
      <w:pPr>
        <w:spacing w:before="80" w:after="80"/>
      </w:pPr>
      <w:r/>
      <w:r>
        <w:rPr>
          <w:rFonts w:ascii="Arial" w:hAnsi="Arial"/>
          <w:sz w:val="20"/>
        </w:rPr>
        <w:t>Note: Use label/PDP-approved structure-function claims only. Correct proof base: magnesium supports more than 300 enzyme systems; less than 1% of total body magnesium is in serum; supplement forms can differ in absorption. Avoid depletion certainty, sleep cures, fatigue claims, and unapproved named-influencer usage. Source anchor: NIH ODS Magnesium Health Professional Fact Sheet, https://ods.od.nih.gov/factsheets/Magnesium-HealthProfessional/.</w:t>
      </w:r>
    </w:p>
    <w:p>
      <w:pPr>
        <w:spacing w:before="560"/>
        <w:jc w:val="center"/>
        <w:pBdr>
          <w:top w:val="single" w:sz="4" w:space="4" w:color="CCCCCC"/>
        </w:pBdr>
      </w:pPr>
      <w:r>
        <w:rPr>
          <w:color w:val="808080"/>
          <w:sz w:val="18"/>
        </w:rPr>
        <w:t>TrendScale  ·  Brief Template v1.3  ·  trendscale.net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