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/>
      <w:r>
        <w:rPr>
          <w:rFonts w:ascii="Arial" w:hAnsi="Arial"/>
          <w:sz w:val="20"/>
        </w:rPr>
        <w:t>Client-facing production brief for paid social review and editor handoff.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/>
      <w:r>
        <w:rPr>
          <w:rFonts w:ascii="Arial" w:hAnsi="Arial"/>
          <w:sz w:val="20"/>
        </w:rPr>
        <w:t>Strategist: Farrice Cain</w:t>
      </w:r>
    </w:p>
    <w:p>
      <w:pPr>
        <w:spacing w:before="80" w:after="80"/>
      </w:pPr>
      <w:r/>
      <w:r>
        <w:rPr>
          <w:rFonts w:ascii="Arial" w:hAnsi="Arial"/>
          <w:sz w:val="20"/>
        </w:rPr>
        <w:t>Client: Puravita - Magnesium Complex Capsules</w:t>
      </w:r>
    </w:p>
    <w:p>
      <w:pPr>
        <w:spacing w:before="80" w:after="80"/>
      </w:pPr>
      <w:r/>
      <w:r>
        <w:rPr>
          <w:rFonts w:ascii="Arial" w:hAnsi="Arial"/>
          <w:sz w:val="20"/>
        </w:rPr>
        <w:t>PDP: https://shoppuravita.com/products/puravita%C2%AE-magnesium-complex</w:t>
      </w:r>
    </w:p>
    <w:p>
      <w:pPr>
        <w:spacing w:before="80" w:after="80"/>
      </w:pPr>
      <w:r/>
      <w:r>
        <w:rPr>
          <w:rFonts w:ascii="Arial" w:hAnsi="Arial"/>
          <w:sz w:val="20"/>
        </w:rPr>
        <w:t>Production note: Recommended control is Hook 1. The script column is exact spoken voiceover. The PDP verifies the active Puravita Magnesium Complex Capsules listing and quantity offers. Keep the 12-form language from the original product brief and final label, without making form-specific health promises.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type: Iteration</w:t>
      </w:r>
    </w:p>
    <w:p>
      <w:pPr>
        <w:spacing w:before="80" w:after="80"/>
      </w:pPr>
      <w:r/>
      <w:r>
        <w:rPr>
          <w:rFonts w:ascii="Arial" w:hAnsi="Arial"/>
          <w:sz w:val="20"/>
        </w:rPr>
        <w:t>Iterated from: The Battery You Can't See control concept.</w:t>
      </w:r>
    </w:p>
    <w:p>
      <w:pPr>
        <w:spacing w:before="80" w:after="80"/>
      </w:pPr>
      <w:r/>
      <w:r>
        <w:rPr>
          <w:rFonts w:ascii="Arial" w:hAnsi="Arial"/>
          <w:sz w:val="20"/>
        </w:rPr>
        <w:t>Avatar: Men 38 to 62, with a 45 to 55 sweet spot. He has routines, labs, and enough life pressure to distrust another generic magnesium sleep ad. He needs a clean reason to inspect the label.</w:t>
      </w:r>
    </w:p>
    <w:p>
      <w:pPr>
        <w:spacing w:before="80" w:after="80"/>
      </w:pPr>
      <w:r/>
      <w:r>
        <w:rPr>
          <w:rFonts w:ascii="Arial" w:hAnsi="Arial"/>
          <w:sz w:val="20"/>
        </w:rPr>
        <w:t>Awareness level: Unaware to Problem aware</w:t>
      </w:r>
    </w:p>
    <w:p>
      <w:pPr>
        <w:spacing w:before="80" w:after="80"/>
      </w:pPr>
      <w:r/>
      <w:r>
        <w:rPr>
          <w:rFonts w:ascii="Arial" w:hAnsi="Arial"/>
          <w:sz w:val="20"/>
        </w:rPr>
        <w:t>Hypothesis: The battery concept works when the first beat feels like a missing dashboard, not a symptom list. The serum-window proof opens the signal. The form list gives Puravita the click.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inspo: Phone at 5 percent, normal lab panel, untouched coffee, soft body-map glow, serum window card, form list, quiet product reveal.</w:t>
      </w:r>
    </w:p>
    <w:p>
      <w:pPr>
        <w:spacing w:before="80" w:after="80"/>
      </w:pPr>
      <w:r/>
      <w:r>
        <w:rPr>
          <w:rFonts w:ascii="Arial" w:hAnsi="Arial"/>
          <w:sz w:val="20"/>
        </w:rPr>
        <w:t>Cast type: HeyGen presenter with cinematic AI b-roll and real product photography.</w:t>
      </w:r>
    </w:p>
    <w:p>
      <w:pPr>
        <w:spacing w:before="80" w:after="80"/>
      </w:pPr>
      <w:r/>
      <w:r>
        <w:rPr>
          <w:rFonts w:ascii="Arial" w:hAnsi="Arial"/>
          <w:sz w:val="20"/>
        </w:rPr>
        <w:t>AI avatar look: Male, 45 to 50, understated, slight gray at temples, simple sweater or overshirt, warm kitchen light. Calm and observant.</w:t>
      </w:r>
    </w:p>
    <w:p>
      <w:pPr>
        <w:spacing w:before="80" w:after="80"/>
      </w:pPr>
      <w:r/>
      <w:r>
        <w:rPr>
          <w:rFonts w:ascii="Arial" w:hAnsi="Arial"/>
          <w:sz w:val="20"/>
        </w:rPr>
        <w:t>Pacing: Quiet first beat, signal turn, proof card, form-board reveal, bottle hold.</w:t>
      </w:r>
    </w:p>
    <w:p>
      <w:pPr>
        <w:spacing w:before="80" w:after="80"/>
      </w:pPr>
      <w:r/>
      <w:r>
        <w:rPr>
          <w:rFonts w:ascii="Arial" w:hAnsi="Arial"/>
          <w:sz w:val="20"/>
        </w:rPr>
        <w:t>Main emotion: Recognition without diagnosis. The viewer should feel the ad named a gap without naming him.</w:t>
      </w:r>
    </w:p>
    <w:p>
      <w:pPr>
        <w:spacing w:before="80" w:after="80"/>
      </w:pPr>
      <w:r/>
      <w:r>
        <w:rPr>
          <w:rFonts w:ascii="Arial" w:hAnsi="Arial"/>
          <w:sz w:val="20"/>
        </w:rPr>
        <w:t>Voiceover: Quiet, restrained, and observational. Read the script column as written. No extra explainer copy.</w:t>
      </w:r>
    </w:p>
    <w:p>
      <w:pPr>
        <w:spacing w:before="80" w:after="80"/>
      </w:pPr>
      <w:r/>
      <w:r>
        <w:rPr>
          <w:rFonts w:ascii="Arial" w:hAnsi="Arial"/>
          <w:sz w:val="20"/>
        </w:rPr>
        <w:t>Music: Sparse piano or low ambient bed at minus 18dB. Silence under the final label line.</w:t>
      </w:r>
    </w:p>
    <w:p>
      <w:pPr>
        <w:spacing w:before="80" w:after="80"/>
      </w:pPr>
      <w:r/>
      <w:r>
        <w:rPr>
          <w:rFonts w:ascii="Arial" w:hAnsi="Arial"/>
          <w:sz w:val="20"/>
        </w:rPr>
        <w:t>Caption style: Manual burned-in captions. Six words per frame maximum. Sage for serum and form callouts.</w:t>
      </w:r>
    </w:p>
    <w:p>
      <w:pPr>
        <w:spacing w:before="80" w:after="80"/>
      </w:pPr>
      <w:r/>
      <w:r>
        <w:rPr>
          <w:rFonts w:ascii="Arial" w:hAnsi="Arial"/>
          <w:sz w:val="20"/>
        </w:rPr>
        <w:t>Overall direction: Use one hook, then continue through the body rows in order. The ad should move from invisible signal to label inspection, without diagnosing the viewer.</w:t>
      </w:r>
    </w:p>
    <w:p>
      <w:pPr>
        <w:spacing w:before="80" w:after="80"/>
      </w:pPr>
      <w:r/>
      <w:r>
        <w:rPr>
          <w:rFonts w:ascii="Arial" w:hAnsi="Arial"/>
          <w:sz w:val="20"/>
        </w:rPr>
        <w:t>Editing notes: Use hand-only phone b-roll and clean document-style lab visuals. Use a soft body-map glow, not literal anatomy. Avoid exhausted-person stock, doctor coats, disease language, diagnosis, urgency text, and influencer quote cards unless cleared by the client.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/>
      <w:r>
        <w:rPr>
          <w:rFonts w:ascii="Arial" w:hAnsi="Arial"/>
          <w:sz w:val="20"/>
        </w:rPr>
        <w:t>Format: Video, 9:16, 35 to 45 seconds. Optional 4:5 static thumbstop using the phone or lab-report hook.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Phone at 5 percent on a nightstand. Dawn light. Hand only, no face.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 phone warns you at 5 percent. The body does not give you a battery icon.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 BODY BATTERY ICON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Clean lab report slides into frame. The word normal is visible. Coffee sits untouched.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report says normal. That does not always tell the whole magnesium story.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NORMAL ON PAPER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Common sleep-ad visuals flicker off. A soft body-map glow replaces them.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Most magnesium ads start with sleep. This one starts with the tiny window called serum.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BEFORE SLEEP: SIGNAL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Body map lights up energy, nerve, and muscle icons. Keep it editorial, not medical.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Mechanism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Magnesium supports more than 300 enzyme systems, including energy metabolism, nerve function, and muscle function.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300+ ENZYME SYSTEMS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Bloodstream label shows less than 1%. Camera pulls back to bone, muscle, and soft tissue.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Proof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Less than 1% of total body magnesium is in serum. So serum can be a narrow window into a bigger system.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&lt;1% IN SERUM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Formula board. Twelve form cards appear one by one, clean and readable.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Then the label matters. Magnesium supplements do not all absorb the same way.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CHANGES THE LABEL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Real Puravita bottle. Twelve form cards settle around the label.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Product reveal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Puravita puts 12 magnesium forms in one formula. Now the form list is the story.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12 MAGNESIUM FORMS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Bottle and supplement-facts panel. CTA appears after the final sentence.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CTA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Open the product page. Read the form list. Then compare it to a generic sleep capsule.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FORM LIST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/>
      <w:r>
        <w:rPr>
          <w:rFonts w:ascii="Arial" w:hAnsi="Arial"/>
          <w:sz w:val="20"/>
        </w:rPr>
        <w:t>Note: Use label/PDP-approved structure-function claims only. Correct proof base: magnesium supports more than 300 enzyme systems; less than 1% of total body magnesium is in serum; supplement forms can differ in absorption. Avoid depletion certainty, sleep cures, fatigue claims, and unapproved named-influencer usage. Source anchor: NIH ODS Magnesium Health Professional Fact Sheet, https://ods.od.nih.gov/factsheets/Magnesium-HealthProfessional/.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