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b/>
          <w:sz w:val="36"/>
        </w:rPr>
        <w:t>TRENDSCALE BRIEF</w:t>
      </w:r>
    </w:p>
    <w:p>
      <w:pPr>
        <w:spacing w:before="160" w:after="240"/>
      </w:pPr>
      <w:r>
        <w:rPr>
          <w:b w:val="0"/>
          <w:sz w:val="18"/>
        </w:rPr>
        <w:t>Client-facing production brief. Built for founder review and editor handoff.</w:t>
      </w:r>
    </w:p>
    <w:p>
      <w:pPr>
        <w:spacing w:before="400" w:after="80"/>
      </w:pPr>
      <w:r>
        <w:rPr>
          <w:b/>
          <w:sz w:val="24"/>
        </w:rPr>
        <w:t>Strategic header</w:t>
      </w:r>
    </w:p>
    <w:p>
      <w:pPr>
        <w:spacing w:before="80" w:after="80"/>
      </w:pPr>
      <w:r>
        <w:rPr>
          <w:b/>
        </w:rPr>
        <w:t xml:space="preserve">Strategist: </w:t>
      </w:r>
      <w:r>
        <w:rPr>
          <w:b w:val="0"/>
        </w:rPr>
        <w:t>Farrice Cain</w:t>
      </w:r>
    </w:p>
    <w:p>
      <w:pPr>
        <w:spacing w:before="80" w:after="80"/>
      </w:pPr>
      <w:r>
        <w:rPr>
          <w:b/>
        </w:rPr>
        <w:t xml:space="preserve">Client: </w:t>
      </w:r>
      <w:r>
        <w:rPr>
          <w:b w:val="0"/>
        </w:rPr>
        <w:t>Puravita - 12-Form Magnesium Complex</w:t>
      </w:r>
    </w:p>
    <w:p>
      <w:pPr>
        <w:spacing w:before="80" w:after="80"/>
      </w:pPr>
      <w:r>
        <w:t>PDP: Final product page URL pending. Use the Puravita 12-Form Magnesium Complex PDP before launch.</w:t>
      </w:r>
    </w:p>
    <w:p>
      <w:pPr>
        <w:spacing w:before="80" w:after="80"/>
      </w:pPr>
      <w:r>
        <w:t>Media buyer notes: Primary buying angle: invisible signal plus form differentiation. Lead with the phone-battery metaphor, then move into serum-magnesium limits and form-dependent absorption. Avoid deficiency diagnosis and unapproved influencer references.</w:t>
      </w:r>
    </w:p>
    <w:p>
      <w:pPr>
        <w:spacing w:before="80" w:after="80"/>
      </w:pPr>
      <w:r>
        <w:rPr>
          <w:b/>
        </w:rPr>
        <w:t xml:space="preserve">Concept type: </w:t>
      </w:r>
      <w:r>
        <w:rPr>
          <w:b w:val="0"/>
        </w:rPr>
        <w:t>Iteration</w:t>
      </w:r>
    </w:p>
    <w:p>
      <w:pPr>
        <w:spacing w:before="80" w:after="80"/>
      </w:pPr>
      <w:r>
        <w:rPr>
          <w:b/>
        </w:rPr>
        <w:t xml:space="preserve">Iterated from: </w:t>
      </w:r>
      <w:r>
        <w:rPr>
          <w:b w:val="0"/>
        </w:rPr>
        <w:t>The Battery You Can’t See control concept.</w:t>
      </w:r>
    </w:p>
    <w:p>
      <w:pPr>
        <w:spacing w:before="80" w:after="80"/>
      </w:pPr>
      <w:r>
        <w:rPr>
          <w:b/>
        </w:rPr>
        <w:t xml:space="preserve">Avatar: </w:t>
      </w:r>
      <w:r>
        <w:rPr>
          <w:b w:val="0"/>
        </w:rPr>
        <w:t>Men 38 to 62, with a 45 to 55 sweet spot, who have normal routines and still feel off. He is not shopping for magnesium yet. He is looking for an explanation that does not make him feel dramatic or broken.</w:t>
      </w:r>
    </w:p>
    <w:p>
      <w:pPr>
        <w:spacing w:before="80" w:after="80"/>
      </w:pPr>
      <w:r>
        <w:rPr>
          <w:b/>
        </w:rPr>
        <w:t xml:space="preserve">Awareness level: </w:t>
      </w:r>
      <w:r>
        <w:rPr>
          <w:b w:val="0"/>
        </w:rPr>
        <w:t>Unaware to Problem aware</w:t>
      </w:r>
    </w:p>
    <w:p>
      <w:pPr>
        <w:spacing w:before="80" w:after="80"/>
      </w:pPr>
      <w:r>
        <w:t>Hypothesis: A phone-battery metaphor makes an invisible mineral story instantly legible. Serum-magnesium limits give the ad a credible reason to continue. The 12-form product story then makes Puravita more specific than another generic sleep-magnesium ad.</w:t>
      </w:r>
    </w:p>
    <w:p>
      <w:pPr>
        <w:spacing w:before="400" w:after="80"/>
      </w:pPr>
      <w:r>
        <w:rPr>
          <w:b/>
          <w:sz w:val="24"/>
        </w:rPr>
        <w:t>Inspiration and editing</w:t>
      </w:r>
    </w:p>
    <w:p>
      <w:pPr>
        <w:spacing w:before="80" w:after="80"/>
      </w:pPr>
      <w:r>
        <w:rPr>
          <w:b/>
        </w:rPr>
        <w:t xml:space="preserve">Concept inspo: </w:t>
      </w:r>
      <w:r>
        <w:rPr>
          <w:b w:val="0"/>
        </w:rPr>
        <w:t>Phone at 5 percent, normal morning light, lab panel closing, soft body-map glow, and a clean formula reveal. The tone is magazine science, not exhausted-person stock footage.</w:t>
      </w:r>
    </w:p>
    <w:p>
      <w:pPr>
        <w:spacing w:before="80" w:after="80"/>
      </w:pPr>
      <w:r>
        <w:rPr>
          <w:b/>
        </w:rPr>
        <w:t xml:space="preserve">Cast type: </w:t>
      </w:r>
      <w:r>
        <w:rPr>
          <w:b w:val="0"/>
        </w:rPr>
        <w:t>HeyGen narrator + AI b-roll. Use a polished presenter and cinematic metaphor visuals, not handheld UGC.</w:t>
      </w:r>
    </w:p>
    <w:p>
      <w:pPr>
        <w:spacing w:before="80" w:after="80"/>
      </w:pPr>
      <w:r>
        <w:rPr>
          <w:b/>
        </w:rPr>
        <w:t xml:space="preserve">AI avatar look: </w:t>
      </w:r>
      <w:r>
        <w:rPr>
          <w:b w:val="0"/>
        </w:rPr>
        <w:t>Male, 45 to 50, understated, slight gray at temples, simple sweater or overshirt, warm kitchen light. Calm and credible without influencer polish.</w:t>
      </w:r>
    </w:p>
    <w:p>
      <w:pPr>
        <w:spacing w:before="80" w:after="80"/>
      </w:pPr>
      <w:r>
        <w:rPr>
          <w:b/>
        </w:rPr>
        <w:t xml:space="preserve">Pacing: </w:t>
      </w:r>
      <w:r>
        <w:rPr>
          <w:b w:val="0"/>
        </w:rPr>
        <w:t>Medium. Slow first beat, tighter proof sequence, quiet final hold.</w:t>
      </w:r>
    </w:p>
    <w:p>
      <w:pPr>
        <w:spacing w:before="80" w:after="80"/>
      </w:pPr>
      <w:r>
        <w:rPr>
          <w:b/>
        </w:rPr>
        <w:t xml:space="preserve">Main emotion: </w:t>
      </w:r>
      <w:r>
        <w:rPr>
          <w:b w:val="0"/>
        </w:rPr>
        <w:t>Private recognition first, then relief that there is a concrete signal to inspect.</w:t>
      </w:r>
    </w:p>
    <w:p>
      <w:pPr>
        <w:spacing w:before="80" w:after="80"/>
      </w:pPr>
      <w:r>
        <w:t>Voiceover: Quiet, grounded, and observant. Narrator names the pattern without diagnosing anyone.</w:t>
      </w:r>
    </w:p>
    <w:p>
      <w:pPr>
        <w:spacing w:before="80" w:after="80"/>
      </w:pPr>
      <w:r>
        <w:rPr>
          <w:b/>
        </w:rPr>
        <w:t xml:space="preserve">Music: </w:t>
      </w:r>
      <w:r>
        <w:rPr>
          <w:b w:val="0"/>
        </w:rPr>
        <w:t>Sparse piano or low ambient bed at minus 18dB. Silence under the final decision line.</w:t>
      </w:r>
    </w:p>
    <w:p>
      <w:pPr>
        <w:spacing w:before="80" w:after="80"/>
      </w:pPr>
      <w:r>
        <w:rPr>
          <w:b/>
        </w:rPr>
        <w:t xml:space="preserve">Caption style: </w:t>
      </w:r>
      <w:r>
        <w:rPr>
          <w:b w:val="0"/>
        </w:rPr>
        <w:t>Manual burned-in captions, bottom third, six words per frame maximum. Use sage for magnesium/form callouts and warm amber only for proof cards.</w:t>
      </w:r>
    </w:p>
    <w:p>
      <w:pPr>
        <w:spacing w:before="80" w:after="80"/>
      </w:pPr>
      <w:r>
        <w:rPr>
          <w:b/>
        </w:rPr>
        <w:t xml:space="preserve">Overall direction: </w:t>
      </w:r>
      <w:r>
        <w:rPr>
          <w:b w:val="0"/>
        </w:rPr>
        <w:t>Make this an invisible-dashboard ad. The viewer should feel that the body can be giving incomplete signals, then see why magnesium form matters.</w:t>
      </w:r>
    </w:p>
    <w:p>
      <w:pPr>
        <w:spacing w:before="80" w:after="80"/>
      </w:pPr>
      <w:r>
        <w:rPr>
          <w:b/>
        </w:rPr>
        <w:t xml:space="preserve">Editing notes: </w:t>
      </w:r>
      <w:r>
        <w:rPr>
          <w:b w:val="0"/>
        </w:rPr>
        <w:t>Use hand-only b-roll for the phone. Avoid stock exhausted-person footage, doctor coats, disease language, literal anatomical diagrams, and urgency text. The body glow should feel like an editorial metaphor, not a diagnosis.</w:t>
      </w:r>
    </w:p>
    <w:p>
      <w:pPr>
        <w:spacing w:before="400" w:after="80"/>
      </w:pPr>
      <w:r>
        <w:rPr>
          <w:b/>
          <w:sz w:val="24"/>
        </w:rPr>
        <w:t>Script</w:t>
      </w:r>
    </w:p>
    <w:p>
      <w:pPr>
        <w:spacing w:before="80" w:after="80"/>
      </w:pPr>
      <w:r>
        <w:rPr>
          <w:b/>
        </w:rPr>
        <w:t xml:space="preserve">Format: </w:t>
      </w:r>
      <w:r>
        <w:rPr>
          <w:b w:val="0"/>
        </w:rPr>
        <w:t>Video, 9:16, 45 seconds. Optional 4:5 static thumbstop using the phone-battery line.</w:t>
      </w:r>
    </w:p>
    <w:tbl>
      <w:tblPr>
        <w:tblW w:type="auto" w:w="0"/>
        <w:jc w:val="center"/>
        <w:tblLook w:firstColumn="1" w:firstRow="1" w:lastColumn="0" w:lastRow="0" w:noHBand="0" w:noVBand="1" w:val="04A0"/>
      </w:tblPr>
      <w:tblGrid>
        <w:gridCol w:w="2493"/>
        <w:gridCol w:w="2493"/>
        <w:gridCol w:w="2493"/>
        <w:gridCol w:w="2493"/>
      </w:tblGrid>
      <w:tr>
        <w:tc>
          <w:tcPr>
            <w:tcW w:type="dxa" w:w="2952"/>
            <w:shd w:val="clear" w:fill="0074FE"/>
            <w:tcBorders>
              <w:top w:val="single" w:sz="4" w:color="CCCCCC"/>
              <w:left w:val="single" w:sz="4" w:color="CCCCCC"/>
              <w:bottom w:val="single" w:sz="4" w:color="CCCCCC"/>
              <w:right w:val="single" w:sz="4" w:color="CCCCCC"/>
            </w:tcBorders>
            <w:vAlign w:val="top"/>
            <w:shd w:fill="D9EAF7"/>
          </w:tcPr>
          <w:p>
            <w:r>
              <w:rPr>
                <w:b/>
                <w:sz w:val="19"/>
              </w:rPr>
              <w:t>Visual / editing notes</w:t>
            </w:r>
          </w:p>
        </w:tc>
        <w:tc>
          <w:tcPr>
            <w:tcW w:type="dxa" w:w="1512"/>
            <w:shd w:val="clear" w:fill="0074FE"/>
            <w:tcBorders>
              <w:top w:val="single" w:sz="4" w:color="CCCCCC"/>
              <w:left w:val="single" w:sz="4" w:color="CCCCCC"/>
              <w:bottom w:val="single" w:sz="4" w:color="CCCCCC"/>
              <w:right w:val="single" w:sz="4" w:color="CCCCCC"/>
            </w:tcBorders>
            <w:vAlign w:val="top"/>
            <w:shd w:fill="D9EAF7"/>
          </w:tcPr>
          <w:p>
            <w:r>
              <w:rPr>
                <w:b/>
                <w:sz w:val="19"/>
              </w:rPr>
              <w:t>Section</w:t>
            </w:r>
          </w:p>
        </w:tc>
        <w:tc>
          <w:tcPr>
            <w:tcW w:type="dxa" w:w="4536"/>
            <w:shd w:val="clear" w:fill="0074FE"/>
            <w:tcBorders>
              <w:top w:val="single" w:sz="4" w:color="CCCCCC"/>
              <w:left w:val="single" w:sz="4" w:color="CCCCCC"/>
              <w:bottom w:val="single" w:sz="4" w:color="CCCCCC"/>
              <w:right w:val="single" w:sz="4" w:color="CCCCCC"/>
            </w:tcBorders>
            <w:vAlign w:val="top"/>
            <w:shd w:fill="D9EAF7"/>
          </w:tcPr>
          <w:p>
            <w:r>
              <w:rPr>
                <w:b/>
                <w:sz w:val="19"/>
              </w:rPr>
              <w:t>Script</w:t>
            </w:r>
          </w:p>
        </w:tc>
        <w:tc>
          <w:tcPr>
            <w:tcW w:type="dxa" w:w="2304"/>
            <w:shd w:val="clear" w:fill="0074FE"/>
            <w:tcBorders>
              <w:top w:val="single" w:sz="4" w:color="CCCCCC"/>
              <w:left w:val="single" w:sz="4" w:color="CCCCCC"/>
              <w:bottom w:val="single" w:sz="4" w:color="CCCCCC"/>
              <w:right w:val="single" w:sz="4" w:color="CCCCCC"/>
            </w:tcBorders>
            <w:vAlign w:val="top"/>
            <w:shd w:fill="D9EAF7"/>
          </w:tcPr>
          <w:p>
            <w:r>
              <w:rPr>
                <w:b/>
                <w:sz w:val="19"/>
              </w:rPr>
              <w:t>On-screen text</w:t>
            </w:r>
          </w:p>
        </w:tc>
      </w:tr>
      <w:tr>
        <w:tc>
          <w:tcPr>
            <w:tcW w:type="dxa" w:w="2952"/>
            <w:vAlign w:val="top"/>
          </w:tcPr>
          <w:p>
            <w:r>
              <w:rPr>
                <w:b w:val="0"/>
                <w:sz w:val="18"/>
              </w:rPr>
              <w:t>Close-up of phone at 5 percent on a nightstand. Slow pull-back. A hand reaches in. No face.</w:t>
            </w:r>
          </w:p>
        </w:tc>
        <w:tc>
          <w:tcPr>
            <w:tcW w:type="dxa" w:w="1512"/>
            <w:vAlign w:val="top"/>
          </w:tcPr>
          <w:p>
            <w:r>
              <w:rPr>
                <w:b w:val="0"/>
                <w:sz w:val="18"/>
              </w:rPr>
              <w:t>Hook 1</w:t>
            </w:r>
          </w:p>
        </w:tc>
        <w:tc>
          <w:tcPr>
            <w:tcW w:type="dxa" w:w="4536"/>
            <w:vAlign w:val="top"/>
          </w:tcPr>
          <w:p>
            <w:r>
              <w:rPr>
                <w:b w:val="0"/>
                <w:sz w:val="18"/>
              </w:rPr>
              <w:t>Your phone gives you a warning at five percent. Your body is usually quieter.</w:t>
            </w:r>
          </w:p>
        </w:tc>
        <w:tc>
          <w:tcPr>
            <w:tcW w:type="dxa" w:w="2304"/>
            <w:vAlign w:val="top"/>
          </w:tcPr>
          <w:p>
            <w:r>
              <w:rPr>
                <w:b w:val="0"/>
                <w:sz w:val="18"/>
              </w:rPr>
              <w:t>The battery your body does not show.</w:t>
            </w:r>
          </w:p>
        </w:tc>
      </w:tr>
      <w:tr>
        <w:tc>
          <w:tcPr>
            <w:tcW w:type="dxa" w:w="2952"/>
            <w:vAlign w:val="top"/>
          </w:tcPr>
          <w:p>
            <w:r>
              <w:rPr>
                <w:b w:val="0"/>
                <w:sz w:val="18"/>
              </w:rPr>
              <w:t>Normal lab report closes. Frame widens into soft body-map glow across bone, muscle, and tissue.</w:t>
            </w:r>
          </w:p>
        </w:tc>
        <w:tc>
          <w:tcPr>
            <w:tcW w:type="dxa" w:w="1512"/>
            <w:vAlign w:val="top"/>
          </w:tcPr>
          <w:p>
            <w:r>
              <w:rPr>
                <w:b w:val="0"/>
                <w:sz w:val="18"/>
              </w:rPr>
              <w:t>Hook 2</w:t>
            </w:r>
          </w:p>
        </w:tc>
        <w:tc>
          <w:tcPr>
            <w:tcW w:type="dxa" w:w="4536"/>
            <w:vAlign w:val="top"/>
          </w:tcPr>
          <w:p>
            <w:r>
              <w:rPr>
                <w:b w:val="0"/>
                <w:sz w:val="18"/>
              </w:rPr>
              <w:t>A standard panel can look normal while the magnesium story is still incomplete.</w:t>
            </w:r>
          </w:p>
        </w:tc>
        <w:tc>
          <w:tcPr>
            <w:tcW w:type="dxa" w:w="2304"/>
            <w:vAlign w:val="top"/>
          </w:tcPr>
          <w:p>
            <w:r>
              <w:rPr>
                <w:b w:val="0"/>
                <w:sz w:val="18"/>
              </w:rPr>
              <w:t>Serum shows a small fraction.</w:t>
            </w:r>
          </w:p>
        </w:tc>
      </w:tr>
      <w:tr>
        <w:tc>
          <w:tcPr>
            <w:tcW w:type="dxa" w:w="2952"/>
            <w:vAlign w:val="top"/>
          </w:tcPr>
          <w:p>
            <w:r>
              <w:rPr>
                <w:b w:val="0"/>
                <w:sz w:val="18"/>
              </w:rPr>
              <w:t>Kitchen narrator, still and restrained. Cut to formula cards instead of symptom footage.</w:t>
            </w:r>
          </w:p>
        </w:tc>
        <w:tc>
          <w:tcPr>
            <w:tcW w:type="dxa" w:w="1512"/>
            <w:vAlign w:val="top"/>
          </w:tcPr>
          <w:p>
            <w:r>
              <w:rPr>
                <w:b w:val="0"/>
                <w:sz w:val="18"/>
              </w:rPr>
              <w:t>Hook 3</w:t>
            </w:r>
          </w:p>
        </w:tc>
        <w:tc>
          <w:tcPr>
            <w:tcW w:type="dxa" w:w="4536"/>
            <w:vAlign w:val="top"/>
          </w:tcPr>
          <w:p>
            <w:r>
              <w:t>Most magnesium ads sell sleep. This one starts with a signal the body rarely shows.</w:t>
            </w:r>
          </w:p>
        </w:tc>
        <w:tc>
          <w:tcPr>
            <w:tcW w:type="dxa" w:w="2304"/>
            <w:vAlign w:val="top"/>
          </w:tcPr>
          <w:p>
            <w:r>
              <w:rPr>
                <w:b w:val="0"/>
                <w:sz w:val="18"/>
              </w:rPr>
              <w:t>Start with the signal.</w:t>
            </w:r>
          </w:p>
        </w:tc>
      </w:tr>
      <w:tr>
        <w:tc>
          <w:tcPr>
            <w:tcW w:type="dxa" w:w="2952"/>
            <w:vAlign w:val="top"/>
          </w:tcPr>
          <w:p>
            <w:r>
              <w:rPr>
                <w:b w:val="0"/>
                <w:sz w:val="18"/>
              </w:rPr>
              <w:t>Stylized body map. Small serum label, larger bone/muscle/tissue glow. Keep the image metaphorical.</w:t>
            </w:r>
          </w:p>
        </w:tc>
        <w:tc>
          <w:tcPr>
            <w:tcW w:type="dxa" w:w="1512"/>
            <w:vAlign w:val="top"/>
          </w:tcPr>
          <w:p>
            <w:r>
              <w:rPr>
                <w:b w:val="0"/>
                <w:sz w:val="18"/>
              </w:rPr>
              <w:t>Body - mechanism</w:t>
            </w:r>
          </w:p>
        </w:tc>
        <w:tc>
          <w:tcPr>
            <w:tcW w:type="dxa" w:w="4536"/>
            <w:vAlign w:val="top"/>
          </w:tcPr>
          <w:p>
            <w:r>
              <w:rPr>
                <w:b w:val="0"/>
                <w:sz w:val="18"/>
              </w:rPr>
              <w:t>Magnesium supports more than 300 enzyme systems, including normal muscle and nerve function and energy metabolism.</w:t>
            </w:r>
          </w:p>
        </w:tc>
        <w:tc>
          <w:tcPr>
            <w:tcW w:type="dxa" w:w="2304"/>
            <w:vAlign w:val="top"/>
          </w:tcPr>
          <w:p>
            <w:r>
              <w:rPr>
                <w:b w:val="0"/>
                <w:sz w:val="18"/>
              </w:rPr>
              <w:t>300+ enzyme systems / Muscle + nerve + energy</w:t>
            </w:r>
          </w:p>
        </w:tc>
      </w:tr>
      <w:tr>
        <w:tc>
          <w:tcPr>
            <w:tcW w:type="dxa" w:w="2952"/>
            <w:vAlign w:val="top"/>
          </w:tcPr>
          <w:p>
            <w:r>
              <w:rPr>
                <w:b w:val="0"/>
                <w:sz w:val="18"/>
              </w:rPr>
              <w:t>Clean source card: NIH Office of Dietary Supplements. Keep it readable and brief.</w:t>
            </w:r>
          </w:p>
        </w:tc>
        <w:tc>
          <w:tcPr>
            <w:tcW w:type="dxa" w:w="1512"/>
            <w:vAlign w:val="top"/>
          </w:tcPr>
          <w:p>
            <w:r>
              <w:rPr>
                <w:b w:val="0"/>
                <w:sz w:val="18"/>
              </w:rPr>
              <w:t>Body - proof</w:t>
            </w:r>
          </w:p>
        </w:tc>
        <w:tc>
          <w:tcPr>
            <w:tcW w:type="dxa" w:w="4536"/>
            <w:vAlign w:val="top"/>
          </w:tcPr>
          <w:p>
            <w:r>
              <w:rPr>
                <w:b w:val="0"/>
                <w:sz w:val="18"/>
              </w:rPr>
              <w:t>Less than one percent of total body magnesium is in blood serum. Most is in bone and soft tissue. That makes serum a small signal, not the whole story.</w:t>
            </w:r>
          </w:p>
        </w:tc>
        <w:tc>
          <w:tcPr>
            <w:tcW w:type="dxa" w:w="2304"/>
            <w:vAlign w:val="top"/>
          </w:tcPr>
          <w:p>
            <w:r>
              <w:rPr>
                <w:b w:val="0"/>
                <w:sz w:val="18"/>
              </w:rPr>
              <w:t>&lt;1% in serum / Bone + soft tissue hold most</w:t>
            </w:r>
          </w:p>
        </w:tc>
      </w:tr>
      <w:tr>
        <w:tc>
          <w:tcPr>
            <w:tcW w:type="dxa" w:w="2952"/>
            <w:vAlign w:val="top"/>
          </w:tcPr>
          <w:p>
            <w:r>
              <w:rPr>
                <w:b w:val="0"/>
                <w:sz w:val="18"/>
              </w:rPr>
              <w:t>Formula card moves through several magnesium forms. Do not claim every form targets a separate condition.</w:t>
            </w:r>
          </w:p>
        </w:tc>
        <w:tc>
          <w:tcPr>
            <w:tcW w:type="dxa" w:w="1512"/>
            <w:vAlign w:val="top"/>
          </w:tcPr>
          <w:p>
            <w:r>
              <w:rPr>
                <w:b w:val="0"/>
                <w:sz w:val="18"/>
              </w:rPr>
              <w:t>Body - form contrast</w:t>
            </w:r>
          </w:p>
        </w:tc>
        <w:tc>
          <w:tcPr>
            <w:tcW w:type="dxa" w:w="4536"/>
            <w:vAlign w:val="top"/>
          </w:tcPr>
          <w:p>
            <w:r>
              <w:rPr>
                <w:b w:val="0"/>
                <w:sz w:val="18"/>
              </w:rPr>
              <w:t>Form matters because magnesium supplements absorb differently. Puravita’s 12-form story gives the creative a sharper reason to exist than another generic magnesium ad.</w:t>
            </w:r>
          </w:p>
        </w:tc>
        <w:tc>
          <w:tcPr>
            <w:tcW w:type="dxa" w:w="2304"/>
            <w:vAlign w:val="top"/>
          </w:tcPr>
          <w:p>
            <w:r>
              <w:rPr>
                <w:b w:val="0"/>
                <w:sz w:val="18"/>
              </w:rPr>
              <w:t>Form matters.</w:t>
            </w:r>
          </w:p>
        </w:tc>
      </w:tr>
      <w:tr>
        <w:tc>
          <w:tcPr>
            <w:tcW w:type="dxa" w:w="2952"/>
            <w:vAlign w:val="top"/>
          </w:tcPr>
          <w:p>
            <w:r>
              <w:rPr>
                <w:b w:val="0"/>
                <w:sz w:val="18"/>
              </w:rPr>
              <w:t>Product bottle in warm kitchen light. Twelve subtle form markers orbit the bottle.</w:t>
            </w:r>
          </w:p>
        </w:tc>
        <w:tc>
          <w:tcPr>
            <w:tcW w:type="dxa" w:w="1512"/>
            <w:vAlign w:val="top"/>
          </w:tcPr>
          <w:p>
            <w:r>
              <w:rPr>
                <w:b w:val="0"/>
                <w:sz w:val="18"/>
              </w:rPr>
              <w:t>Body - product reveal</w:t>
            </w:r>
          </w:p>
        </w:tc>
        <w:tc>
          <w:tcPr>
            <w:tcW w:type="dxa" w:w="4536"/>
            <w:vAlign w:val="top"/>
          </w:tcPr>
          <w:p>
            <w:r>
              <w:t>Puravita brings 12 magnesium forms into one formula. Viewers should want to read the label, not feel diagnosed by a hook.</w:t>
            </w:r>
          </w:p>
        </w:tc>
        <w:tc>
          <w:tcPr>
            <w:tcW w:type="dxa" w:w="2304"/>
            <w:vAlign w:val="top"/>
          </w:tcPr>
          <w:p>
            <w:r>
              <w:rPr>
                <w:b w:val="0"/>
                <w:sz w:val="18"/>
              </w:rPr>
              <w:t>12-form magnesium complex</w:t>
            </w:r>
          </w:p>
        </w:tc>
      </w:tr>
      <w:tr>
        <w:tc>
          <w:tcPr>
            <w:tcW w:type="dxa" w:w="2952"/>
            <w:vAlign w:val="top"/>
          </w:tcPr>
          <w:p>
            <w:r>
              <w:rPr>
                <w:b w:val="0"/>
                <w:sz w:val="18"/>
              </w:rPr>
              <w:t>Final product hold. Music drops. Learn More button appears.</w:t>
            </w:r>
          </w:p>
        </w:tc>
        <w:tc>
          <w:tcPr>
            <w:tcW w:type="dxa" w:w="1512"/>
            <w:vAlign w:val="top"/>
          </w:tcPr>
          <w:p>
            <w:r>
              <w:rPr>
                <w:b w:val="0"/>
                <w:sz w:val="18"/>
              </w:rPr>
              <w:t>Body - CTA</w:t>
            </w:r>
          </w:p>
        </w:tc>
        <w:tc>
          <w:tcPr>
            <w:tcW w:type="dxa" w:w="4536"/>
            <w:vAlign w:val="top"/>
          </w:tcPr>
          <w:p>
            <w:r>
              <w:t>Read the form list. Check labels. Then decide.</w:t>
            </w:r>
          </w:p>
        </w:tc>
        <w:tc>
          <w:tcPr>
            <w:tcW w:type="dxa" w:w="2304"/>
            <w:vAlign w:val="top"/>
          </w:tcPr>
          <w:p>
            <w:r>
              <w:rPr>
                <w:b w:val="0"/>
                <w:sz w:val="18"/>
              </w:rPr>
              <w:t>Read the formula / Learn More</w:t>
            </w:r>
          </w:p>
        </w:tc>
      </w:tr>
    </w:tbl>
    <w:p>
      <w:pPr>
        <w:spacing w:before="400" w:after="80"/>
      </w:pPr>
      <w:r>
        <w:rPr>
          <w:b/>
          <w:sz w:val="24"/>
        </w:rPr>
        <w:t>Notes</w:t>
      </w:r>
    </w:p>
    <w:p>
      <w:pPr>
        <w:spacing w:before="80" w:after="80"/>
      </w:pPr>
      <w:r>
        <w:t>Note: Production guardrail: use “supports” language and label/PDP-approved claims only. NIH-backed proof supports more than 300 enzyme systems, less than 1% of total magnesium in serum, and form-dependent absorption. Avoid inflated enzyme-count claims, deficiency diagnosis, and unapproved named-influencer usage.</w:t>
      </w:r>
    </w:p>
    <w:p>
      <w:pPr>
        <w:spacing w:before="560"/>
        <w:jc w:val="center"/>
        <w:pBdr>
          <w:top w:val="single" w:sz="4" w:space="4" w:color="CCCCCC"/>
        </w:pBdr>
      </w:pPr>
      <w:r>
        <w:rPr>
          <w:color w:val="808080"/>
          <w:sz w:val="16"/>
        </w:rPr>
        <w:t>TrendScale  ·  Brief Template v1.3  ·  trendscale.net</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