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 for paid social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Puravita - Magnesium Complex Capsules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https://shoppuravita.com/products/puravita%C2%AE-magnesium-complex</w:t>
      </w:r>
    </w:p>
    <w:p>
      <w:pPr>
        <w:spacing w:before="80" w:after="80"/>
      </w:pPr>
      <w:r/>
      <w:r>
        <w:rPr>
          <w:rFonts w:ascii="Arial" w:hAnsi="Arial"/>
          <w:sz w:val="20"/>
        </w:rPr>
        <w:t>Production note: Recommended control is Hook 1. The script column is exact spoken voiceover. This pass loads the current PDP and keeps the ad focused on one cold-traffic action: read the form list. PDP facts used in the brief: Puravita Magnesium Complex Capsules, current buy 1 / buy 2 get 1 / buy 3 get 2 bundle options, visible serum-magnesium FAQ language, and 'Powered By 12 Active Magnesium Forms' product-page copy.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Battery You Can't See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Men 38 to 62, with a 45 to 55 sweet spot. He has routines, labs, and enough life pressure to distrust another generic magnesium sleep ad. He needs a clean reason to inspect the label.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Unaware to Problem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The battery concept works when the hook begins with the private search, not the category. Start with the moment normal stops being reassuring, then let serum and form-list proof earn the product.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Phone at 5 percent, normal lab panel, untouched coffee, soft body-map glow, serum window card, form list, quiet product reveal.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45 to 50, understated, slight gray at temples, simple sweater or overshirt, warm kitchen light. Calm and observant.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Private search hook, signal turn, proof card, form-board reveal, bottle hold.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Recognition without diagnosis. The viewer should feel the ad named a gap without naming him.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Quiet, restrained, and observational. Read the script column as written. No extra explainer copy.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piano or low ambient bed at minus 18dB. Silence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Sage for serum and form callouts.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Use one hook, then continue through the body rows in order. The ad should move from private question to label inspection without diagnosing the viewer or promising a sleep cure.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Use hand-only phone b-roll and clean document-style lab visuals. Use a soft body-map glow, not literal anatomy. Avoid exhausted-person stock, doctor coats, disease language, diagnosis, urgency text, and influencer quote cards unless cleared by the client.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35 to 45 seconds. Optional 4:5 static thumbstop using the phone or lab-report hook.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Phone at 11:07 on a nightstand. Search bar begins, then stops before the query finishes.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At 11:07, the search is not for magnesium. The search is for why normal still feels unfinished.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NORMAL FEELS UNFINISHED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Clean lab panel slides in. The word normal lands like a period.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normal panel can close the case before the magnesium question even starts.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NORMAL CAN CLOSE THE CASE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Phone battery at 5 percent. Cut to a quiet body-map glow.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Phones show 5 percent. The body makes you investigate.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NO BATTERY ICON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Soft body map lights up energy, nerve, and muscle icons. Editorial, not clinical.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Magnesium supports hundreds of enzyme systems, including energy, nerve, and muscle function.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HUNDREDS OF SYSTEMS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Serum window card: small bright line in blood, larger glow in bone and soft tissue.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Proof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Less than 1% of total magnesium is in serum. That is a narrow window.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NARROW WINDOW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list appears as clean cards, not a busy supplement-facts wall.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Then the form list matters. Magnesium forms can absorb differently.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FORM MATTERS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Puravita bottle. Twelve form cards settle around the label.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Puravita builds the story around 12 active magnesium forms in one capsule formula.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12 ACTIVE FORMS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and form list. CTA appears after the voice lands.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Open the product page. Read the form list. Compare it to a simpler bottle before choosing.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FORM LIST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Use label/PDP-approved structure-function claims only. Final edit must match the live PDP and label. Avoid depletion certainty, sleep cures, fatigue claims, disease language, named-influencer dependency, and diagnosis framing. Source anchors: Puravita PDP and NIH ODS Magnesium Health Professional Fact Sheet.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