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Bdr>
          <w:bottom w:val="single" w:sz="24" w:space="4" w:color="0074FE"/>
        </w:pBdr>
      </w:pPr>
      <w:r>
        <w:rPr>
          <w:rFonts w:ascii="Arial" w:hAnsi="Arial"/>
          <w:b/>
          <w:color w:val="0074FE"/>
          <w:sz w:val="52"/>
        </w:rPr>
        <w:t>TRENDSCALE BRIEF</w:t>
      </w:r>
    </w:p>
    <w:p>
      <w:pPr>
        <w:spacing w:before="160" w:after="240"/>
      </w:pPr>
      <w:r/>
      <w:r>
        <w:rPr>
          <w:rFonts w:ascii="Arial" w:hAnsi="Arial"/>
          <w:sz w:val="20"/>
        </w:rPr>
        <w:t>Client-facing production brief for paid social review and editor handoff.</w:t>
      </w:r>
    </w:p>
    <w:p>
      <w:pPr>
        <w:spacing w:before="400" w:after="80"/>
      </w:pPr>
      <w:r>
        <w:rPr>
          <w:rFonts w:ascii="Arial" w:hAnsi="Arial"/>
          <w:b/>
          <w:color w:val="0074FE"/>
          <w:sz w:val="28"/>
        </w:rPr>
        <w:t>Strategic header</w:t>
      </w:r>
    </w:p>
    <w:p>
      <w:pPr>
        <w:spacing w:before="80" w:after="80"/>
      </w:pPr>
      <w:r/>
      <w:r>
        <w:rPr>
          <w:rFonts w:ascii="Arial" w:hAnsi="Arial"/>
          <w:sz w:val="20"/>
        </w:rPr>
        <w:t>Strategist: Farrice Cain</w:t>
      </w:r>
    </w:p>
    <w:p>
      <w:pPr>
        <w:spacing w:before="80" w:after="80"/>
      </w:pPr>
      <w:r/>
      <w:r>
        <w:rPr>
          <w:rFonts w:ascii="Arial" w:hAnsi="Arial"/>
          <w:sz w:val="20"/>
        </w:rPr>
        <w:t>Client: Puravita - Magnesium Complex Capsules</w:t>
      </w:r>
    </w:p>
    <w:p>
      <w:pPr>
        <w:spacing w:before="80" w:after="80"/>
      </w:pPr>
      <w:r/>
      <w:r>
        <w:rPr>
          <w:rFonts w:ascii="Arial" w:hAnsi="Arial"/>
          <w:sz w:val="20"/>
        </w:rPr>
        <w:t>PDP: https://shoppuravita.com/products/puravita%C2%AE-magnesium-complex</w:t>
      </w:r>
    </w:p>
    <w:p>
      <w:pPr>
        <w:spacing w:before="80" w:after="80"/>
      </w:pPr>
      <w:r/>
      <w:r>
        <w:rPr>
          <w:rFonts w:ascii="Arial" w:hAnsi="Arial"/>
          <w:sz w:val="20"/>
        </w:rPr>
        <w:t>Production note: Recommended control is Hook 1. The script column is exact spoken voiceover. This pass restores the original buyer psychology: phone at 5%, normal bloodwork, still feeling off, wife asks if he is okay, no answer, and the form-list click. PDP facts used: Puravita Magnesium Complex Capsules, current buy 1 / buy 2 get 1 / buy 3 get 2 bundle options, visible serum-magnesium FAQ language, and 'Powered By 12 Active Magnesium Forms' product-page copy.</w:t>
      </w:r>
    </w:p>
    <w:p>
      <w:pPr>
        <w:spacing w:before="80" w:after="80"/>
      </w:pPr>
      <w:r/>
      <w:r>
        <w:rPr>
          <w:rFonts w:ascii="Arial" w:hAnsi="Arial"/>
          <w:sz w:val="20"/>
        </w:rPr>
        <w:t>Concept type: Iteration</w:t>
      </w:r>
    </w:p>
    <w:p>
      <w:pPr>
        <w:spacing w:before="80" w:after="80"/>
      </w:pPr>
      <w:r/>
      <w:r>
        <w:rPr>
          <w:rFonts w:ascii="Arial" w:hAnsi="Arial"/>
          <w:sz w:val="20"/>
        </w:rPr>
        <w:t>Iterated from: The Battery You Can't See control concept.</w:t>
      </w:r>
    </w:p>
    <w:p>
      <w:pPr>
        <w:spacing w:before="80" w:after="80"/>
      </w:pPr>
      <w:r/>
      <w:r>
        <w:rPr>
          <w:rFonts w:ascii="Arial" w:hAnsi="Arial"/>
          <w:sz w:val="20"/>
        </w:rPr>
        <w:t>Avatar: Men 38 to 62, with a 45 to 55 sweet spot. He has routines, labs, and enough life pressure to distrust another generic magnesium sleep ad. He needs a clean reason to inspect the label.</w:t>
      </w:r>
    </w:p>
    <w:p>
      <w:pPr>
        <w:spacing w:before="80" w:after="80"/>
      </w:pPr>
      <w:r/>
      <w:r>
        <w:rPr>
          <w:rFonts w:ascii="Arial" w:hAnsi="Arial"/>
          <w:sz w:val="20"/>
        </w:rPr>
        <w:t>Awareness level: Unaware to Problem aware</w:t>
      </w:r>
    </w:p>
    <w:p>
      <w:pPr>
        <w:spacing w:before="80" w:after="80"/>
      </w:pPr>
      <w:r/>
      <w:r>
        <w:rPr>
          <w:rFonts w:ascii="Arial" w:hAnsi="Arial"/>
          <w:sz w:val="20"/>
        </w:rPr>
        <w:t>Hypothesis: The battery concept works when it names the private gap before it explains magnesium. The strongest opener is the invisible warning-light moment: normal bloodwork ended the conversation, but it did not answer the question he is actually living with.</w:t>
      </w:r>
    </w:p>
    <w:p>
      <w:pPr>
        <w:spacing w:before="400" w:after="80"/>
      </w:pPr>
      <w:r>
        <w:rPr>
          <w:rFonts w:ascii="Arial" w:hAnsi="Arial"/>
          <w:b/>
          <w:color w:val="0074FE"/>
          <w:sz w:val="28"/>
        </w:rPr>
        <w:t>Inspiration and editing</w:t>
      </w:r>
    </w:p>
    <w:p>
      <w:pPr>
        <w:spacing w:before="80" w:after="80"/>
      </w:pPr>
      <w:r/>
      <w:r>
        <w:rPr>
          <w:rFonts w:ascii="Arial" w:hAnsi="Arial"/>
          <w:sz w:val="20"/>
        </w:rPr>
        <w:t>Concept inspo: Phone at 5 percent, normal lab panel, untouched coffee, soft body-map glow, serum window card, form list, quiet product reveal.</w:t>
      </w:r>
    </w:p>
    <w:p>
      <w:pPr>
        <w:spacing w:before="80" w:after="80"/>
      </w:pPr>
      <w:r/>
      <w:r>
        <w:rPr>
          <w:rFonts w:ascii="Arial" w:hAnsi="Arial"/>
          <w:sz w:val="20"/>
        </w:rPr>
        <w:t>Cast type: HeyGen presenter with cinematic AI b-roll and real product photography.</w:t>
      </w:r>
    </w:p>
    <w:p>
      <w:pPr>
        <w:spacing w:before="80" w:after="80"/>
      </w:pPr>
      <w:r/>
      <w:r>
        <w:rPr>
          <w:rFonts w:ascii="Arial" w:hAnsi="Arial"/>
          <w:sz w:val="20"/>
        </w:rPr>
        <w:t>AI avatar look: Male, 45 to 50, understated, slight gray at temples, simple sweater or overshirt, warm kitchen light. Calm and observant.</w:t>
      </w:r>
    </w:p>
    <w:p>
      <w:pPr>
        <w:spacing w:before="80" w:after="80"/>
      </w:pPr>
      <w:r/>
      <w:r>
        <w:rPr>
          <w:rFonts w:ascii="Arial" w:hAnsi="Arial"/>
          <w:sz w:val="20"/>
        </w:rPr>
        <w:t>Pacing: Private search hook, signal turn, proof card, form-board reveal, bottle hold.</w:t>
      </w:r>
    </w:p>
    <w:p>
      <w:pPr>
        <w:spacing w:before="80" w:after="80"/>
      </w:pPr>
      <w:r/>
      <w:r>
        <w:rPr>
          <w:rFonts w:ascii="Arial" w:hAnsi="Arial"/>
          <w:sz w:val="20"/>
        </w:rPr>
        <w:t>Main emotion: Recognition without diagnosis. The viewer should feel the ad named a gap without naming him.</w:t>
      </w:r>
    </w:p>
    <w:p>
      <w:pPr>
        <w:spacing w:before="80" w:after="80"/>
      </w:pPr>
      <w:r/>
      <w:r>
        <w:rPr>
          <w:rFonts w:ascii="Arial" w:hAnsi="Arial"/>
          <w:sz w:val="20"/>
        </w:rPr>
        <w:t>Voiceover: Quiet, restrained, and observational. Read the script column as written. No extra explainer copy.</w:t>
      </w:r>
    </w:p>
    <w:p>
      <w:pPr>
        <w:spacing w:before="80" w:after="80"/>
      </w:pPr>
      <w:r/>
      <w:r>
        <w:rPr>
          <w:rFonts w:ascii="Arial" w:hAnsi="Arial"/>
          <w:sz w:val="20"/>
        </w:rPr>
        <w:t>Music: Sparse piano or low ambient bed at minus 18dB. Silence under the final label line.</w:t>
      </w:r>
    </w:p>
    <w:p>
      <w:pPr>
        <w:spacing w:before="80" w:after="80"/>
      </w:pPr>
      <w:r/>
      <w:r>
        <w:rPr>
          <w:rFonts w:ascii="Arial" w:hAnsi="Arial"/>
          <w:sz w:val="20"/>
        </w:rPr>
        <w:t>Caption style: Manual burned-in captions. Six words per frame maximum. Sage for serum and form callouts.</w:t>
      </w:r>
    </w:p>
    <w:p>
      <w:pPr>
        <w:spacing w:before="80" w:after="80"/>
      </w:pPr>
      <w:r/>
      <w:r>
        <w:rPr>
          <w:rFonts w:ascii="Arial" w:hAnsi="Arial"/>
          <w:sz w:val="20"/>
        </w:rPr>
        <w:t>Overall direction: Use one hook, then continue through the body rows in order. The ad should feel like it is naming what he has been living without language for, then giving him one clean reason to inspect the label.</w:t>
      </w:r>
    </w:p>
    <w:p>
      <w:pPr>
        <w:spacing w:before="80" w:after="80"/>
      </w:pPr>
      <w:r/>
      <w:r>
        <w:rPr>
          <w:rFonts w:ascii="Arial" w:hAnsi="Arial"/>
          <w:sz w:val="20"/>
        </w:rPr>
        <w:t>Editing notes: Use hand-only phone b-roll and clean document-style lab visuals. Use a soft body-map glow, not literal anatomy. Avoid exhausted-person stock, doctor coats, disease language, diagnosis, urgency text, and influencer quote cards unless cleared by the client.</w:t>
      </w:r>
    </w:p>
    <w:p>
      <w:pPr>
        <w:spacing w:before="400" w:after="80"/>
      </w:pPr>
      <w:r>
        <w:rPr>
          <w:rFonts w:ascii="Arial" w:hAnsi="Arial"/>
          <w:b/>
          <w:color w:val="0074FE"/>
          <w:sz w:val="28"/>
        </w:rPr>
        <w:t>Script</w:t>
      </w:r>
    </w:p>
    <w:p>
      <w:pPr>
        <w:spacing w:before="80" w:after="80"/>
      </w:pPr>
      <w:r/>
      <w:r>
        <w:rPr>
          <w:rFonts w:ascii="Arial" w:hAnsi="Arial"/>
          <w:sz w:val="20"/>
        </w:rPr>
        <w:t>Format: Video, 9:16, 35 to 45 seconds. Optional 4:5 static thumbstop using the phone or lab-report hook.</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fill="0074FE"/>
            <w:tcBorders>
              <w:top w:val="single" w:sz="4" w:color="CCCCCC"/>
              <w:left w:val="single" w:sz="4" w:color="CCCCCC"/>
              <w:bottom w:val="single" w:sz="4" w:color="CCCCCC"/>
              <w:right w:val="single" w:sz="4" w:color="CCCCCC"/>
            </w:tcBorders>
          </w:tcPr>
          <w:p>
            <w:r>
              <w:rPr>
                <w:b/>
                <w:color w:val="FFFFFF"/>
                <w:sz w:val="22"/>
              </w:rPr>
              <w:t>Visual / editing notes</w:t>
            </w:r>
          </w:p>
        </w:tc>
        <w:tc>
          <w:tcPr>
            <w:tcW w:type="dxa" w:w="2493"/>
            <w:shd w:val="clear" w:fill="0074FE"/>
            <w:tcBorders>
              <w:top w:val="single" w:sz="4" w:color="CCCCCC"/>
              <w:left w:val="single" w:sz="4" w:color="CCCCCC"/>
              <w:bottom w:val="single" w:sz="4" w:color="CCCCCC"/>
              <w:right w:val="single" w:sz="4" w:color="CCCCCC"/>
            </w:tcBorders>
          </w:tcPr>
          <w:p>
            <w:r>
              <w:rPr>
                <w:b/>
                <w:color w:val="FFFFFF"/>
                <w:sz w:val="22"/>
              </w:rPr>
              <w:t>Section</w:t>
            </w:r>
          </w:p>
        </w:tc>
        <w:tc>
          <w:tcPr>
            <w:tcW w:type="dxa" w:w="2493"/>
            <w:shd w:val="clear" w:fill="0074FE"/>
            <w:tcBorders>
              <w:top w:val="single" w:sz="4" w:color="CCCCCC"/>
              <w:left w:val="single" w:sz="4" w:color="CCCCCC"/>
              <w:bottom w:val="single" w:sz="4" w:color="CCCCCC"/>
              <w:right w:val="single" w:sz="4" w:color="CCCCCC"/>
            </w:tcBorders>
          </w:tcPr>
          <w:p>
            <w:r>
              <w:rPr>
                <w:b/>
                <w:color w:val="FFFFFF"/>
                <w:sz w:val="22"/>
              </w:rPr>
              <w:t>Script</w:t>
            </w:r>
          </w:p>
        </w:tc>
        <w:tc>
          <w:tcPr>
            <w:tcW w:type="dxa" w:w="2493"/>
            <w:shd w:val="clear" w:fill="0074FE"/>
            <w:tcBorders>
              <w:top w:val="single" w:sz="4" w:color="CCCCCC"/>
              <w:left w:val="single" w:sz="4" w:color="CCCCCC"/>
              <w:bottom w:val="single" w:sz="4" w:color="CCCCCC"/>
              <w:right w:val="single" w:sz="4" w:color="CCCCCC"/>
            </w:tcBorders>
          </w:tcPr>
          <w:p>
            <w:r>
              <w:rPr>
                <w:b/>
                <w:color w:val="FFFFFF"/>
                <w:sz w:val="22"/>
              </w:rPr>
              <w:t>On-screen text</w:t>
            </w:r>
          </w:p>
        </w:tc>
      </w:tr>
      <w:tr>
        <w:tc>
          <w:tcPr>
            <w:tcW w:type="dxa" w:w="2493"/>
          </w:tcPr>
          <w:p>
            <w:pPr>
              <w:jc w:val="left"/>
            </w:pPr>
            <w:r/>
            <w:r>
              <w:rPr>
                <w:rFonts w:ascii="Arial" w:hAnsi="Arial"/>
                <w:sz w:val="18"/>
              </w:rPr>
              <w:t>Phone at 5% on a nightstand. Morning light. Hand reaches in, face never shown.</w:t>
            </w:r>
          </w:p>
        </w:tc>
        <w:tc>
          <w:tcPr>
            <w:tcW w:type="dxa" w:w="2493"/>
          </w:tcPr>
          <w:p>
            <w:pPr>
              <w:jc w:val="left"/>
            </w:pPr>
            <w:r/>
            <w:r>
              <w:rPr>
                <w:rFonts w:ascii="Arial" w:hAnsi="Arial"/>
                <w:sz w:val="18"/>
              </w:rPr>
              <w:t>Hook 1</w:t>
            </w:r>
          </w:p>
        </w:tc>
        <w:tc>
          <w:tcPr>
            <w:tcW w:type="dxa" w:w="2493"/>
          </w:tcPr>
          <w:p>
            <w:pPr>
              <w:jc w:val="left"/>
            </w:pPr>
            <w:r/>
            <w:r>
              <w:rPr>
                <w:rFonts w:ascii="Arial" w:hAnsi="Arial"/>
                <w:sz w:val="18"/>
              </w:rPr>
              <w:t>Your phone tells you when it is at 5 percent. Your body lets you call it stress.</w:t>
            </w:r>
          </w:p>
        </w:tc>
        <w:tc>
          <w:tcPr>
            <w:tcW w:type="dxa" w:w="2493"/>
          </w:tcPr>
          <w:p>
            <w:pPr>
              <w:jc w:val="left"/>
            </w:pPr>
            <w:r/>
            <w:r>
              <w:rPr>
                <w:rFonts w:ascii="Arial" w:hAnsi="Arial"/>
                <w:sz w:val="18"/>
              </w:rPr>
              <w:t>NO BATTERY ICON</w:t>
            </w:r>
          </w:p>
        </w:tc>
      </w:tr>
      <w:tr>
        <w:tc>
          <w:tcPr>
            <w:tcW w:type="dxa" w:w="2493"/>
          </w:tcPr>
          <w:p>
            <w:pPr>
              <w:jc w:val="left"/>
            </w:pPr>
            <w:r/>
            <w:r>
              <w:rPr>
                <w:rFonts w:ascii="Arial" w:hAnsi="Arial"/>
                <w:sz w:val="18"/>
              </w:rPr>
              <w:t>Lab panel slides in. The word normal lands, then the kitchen goes quiet.</w:t>
            </w:r>
          </w:p>
        </w:tc>
        <w:tc>
          <w:tcPr>
            <w:tcW w:type="dxa" w:w="2493"/>
          </w:tcPr>
          <w:p>
            <w:pPr>
              <w:jc w:val="left"/>
            </w:pPr>
            <w:r/>
            <w:r>
              <w:rPr>
                <w:rFonts w:ascii="Arial" w:hAnsi="Arial"/>
                <w:sz w:val="18"/>
              </w:rPr>
              <w:t>Hook 2</w:t>
            </w:r>
          </w:p>
        </w:tc>
        <w:tc>
          <w:tcPr>
            <w:tcW w:type="dxa" w:w="2493"/>
          </w:tcPr>
          <w:p>
            <w:pPr>
              <w:jc w:val="left"/>
            </w:pPr>
            <w:r/>
            <w:r>
              <w:rPr>
                <w:rFonts w:ascii="Arial" w:hAnsi="Arial"/>
                <w:sz w:val="18"/>
              </w:rPr>
              <w:t>The bloodwork came back normal. He still did not feel like himself.</w:t>
            </w:r>
          </w:p>
        </w:tc>
        <w:tc>
          <w:tcPr>
            <w:tcW w:type="dxa" w:w="2493"/>
          </w:tcPr>
          <w:p>
            <w:pPr>
              <w:jc w:val="left"/>
            </w:pPr>
            <w:r/>
            <w:r>
              <w:rPr>
                <w:rFonts w:ascii="Arial" w:hAnsi="Arial"/>
                <w:sz w:val="18"/>
              </w:rPr>
              <w:t>NORMAL, STILL OFF</w:t>
            </w:r>
          </w:p>
        </w:tc>
      </w:tr>
      <w:tr>
        <w:tc>
          <w:tcPr>
            <w:tcW w:type="dxa" w:w="2493"/>
          </w:tcPr>
          <w:p>
            <w:pPr>
              <w:jc w:val="left"/>
            </w:pPr>
            <w:r/>
            <w:r>
              <w:rPr>
                <w:rFonts w:ascii="Arial" w:hAnsi="Arial"/>
                <w:sz w:val="18"/>
              </w:rPr>
              <w:t>Search bar starts with magnesium, then deletes it and types why do I feel off.</w:t>
            </w:r>
          </w:p>
        </w:tc>
        <w:tc>
          <w:tcPr>
            <w:tcW w:type="dxa" w:w="2493"/>
          </w:tcPr>
          <w:p>
            <w:pPr>
              <w:jc w:val="left"/>
            </w:pPr>
            <w:r/>
            <w:r>
              <w:rPr>
                <w:rFonts w:ascii="Arial" w:hAnsi="Arial"/>
                <w:sz w:val="18"/>
              </w:rPr>
              <w:t>Hook 3</w:t>
            </w:r>
          </w:p>
        </w:tc>
        <w:tc>
          <w:tcPr>
            <w:tcW w:type="dxa" w:w="2493"/>
          </w:tcPr>
          <w:p>
            <w:pPr>
              <w:jc w:val="left"/>
            </w:pPr>
            <w:r/>
            <w:r>
              <w:rPr>
                <w:rFonts w:ascii="Arial" w:hAnsi="Arial"/>
                <w:sz w:val="18"/>
              </w:rPr>
              <w:t>He types why do I feel off before he ever thinks magnesium.</w:t>
            </w:r>
          </w:p>
        </w:tc>
        <w:tc>
          <w:tcPr>
            <w:tcW w:type="dxa" w:w="2493"/>
          </w:tcPr>
          <w:p>
            <w:pPr>
              <w:jc w:val="left"/>
            </w:pPr>
            <w:r/>
            <w:r>
              <w:rPr>
                <w:rFonts w:ascii="Arial" w:hAnsi="Arial"/>
                <w:sz w:val="18"/>
              </w:rPr>
              <w:t>SEARCHING FOR AN ANSWER</w:t>
            </w:r>
          </w:p>
        </w:tc>
      </w:tr>
      <w:tr>
        <w:tc>
          <w:tcPr>
            <w:tcW w:type="dxa" w:w="2493"/>
          </w:tcPr>
          <w:p>
            <w:pPr>
              <w:jc w:val="left"/>
            </w:pPr>
            <w:r/>
            <w:r>
              <w:rPr>
                <w:rFonts w:ascii="Arial" w:hAnsi="Arial"/>
                <w:sz w:val="18"/>
              </w:rPr>
              <w:t>Coffee on counter. Gym shoes by the door. Wife's hand briefly touches his shoulder.</w:t>
            </w:r>
          </w:p>
        </w:tc>
        <w:tc>
          <w:tcPr>
            <w:tcW w:type="dxa" w:w="2493"/>
          </w:tcPr>
          <w:p>
            <w:pPr>
              <w:jc w:val="left"/>
            </w:pPr>
            <w:r/>
            <w:r>
              <w:rPr>
                <w:rFonts w:ascii="Arial" w:hAnsi="Arial"/>
                <w:sz w:val="18"/>
              </w:rPr>
              <w:t>Avatar wound</w:t>
            </w:r>
          </w:p>
        </w:tc>
        <w:tc>
          <w:tcPr>
            <w:tcW w:type="dxa" w:w="2493"/>
          </w:tcPr>
          <w:p>
            <w:pPr>
              <w:jc w:val="left"/>
            </w:pPr>
            <w:r/>
            <w:r>
              <w:rPr>
                <w:rFonts w:ascii="Arial" w:hAnsi="Arial"/>
                <w:sz w:val="18"/>
              </w:rPr>
              <w:t>He slept. He trained. He got the normal report. His wife asked if he was okay, and he had no answer.</w:t>
            </w:r>
          </w:p>
        </w:tc>
        <w:tc>
          <w:tcPr>
            <w:tcW w:type="dxa" w:w="2493"/>
          </w:tcPr>
          <w:p>
            <w:pPr>
              <w:jc w:val="left"/>
            </w:pPr>
            <w:r/>
            <w:r>
              <w:rPr>
                <w:rFonts w:ascii="Arial" w:hAnsi="Arial"/>
                <w:sz w:val="18"/>
              </w:rPr>
              <w:t>NO ANSWER</w:t>
            </w:r>
          </w:p>
        </w:tc>
      </w:tr>
      <w:tr>
        <w:tc>
          <w:tcPr>
            <w:tcW w:type="dxa" w:w="2493"/>
          </w:tcPr>
          <w:p>
            <w:pPr>
              <w:jc w:val="left"/>
            </w:pPr>
            <w:r/>
            <w:r>
              <w:rPr>
                <w:rFonts w:ascii="Arial" w:hAnsi="Arial"/>
                <w:sz w:val="18"/>
              </w:rPr>
              <w:t>Phone battery graphic fades into a soft body-map glow.</w:t>
            </w:r>
          </w:p>
        </w:tc>
        <w:tc>
          <w:tcPr>
            <w:tcW w:type="dxa" w:w="2493"/>
          </w:tcPr>
          <w:p>
            <w:pPr>
              <w:jc w:val="left"/>
            </w:pPr>
            <w:r/>
            <w:r>
              <w:rPr>
                <w:rFonts w:ascii="Arial" w:hAnsi="Arial"/>
                <w:sz w:val="18"/>
              </w:rPr>
              <w:t>Metaphor turn</w:t>
            </w:r>
          </w:p>
        </w:tc>
        <w:tc>
          <w:tcPr>
            <w:tcW w:type="dxa" w:w="2493"/>
          </w:tcPr>
          <w:p>
            <w:pPr>
              <w:jc w:val="left"/>
            </w:pPr>
            <w:r/>
            <w:r>
              <w:rPr>
                <w:rFonts w:ascii="Arial" w:hAnsi="Arial"/>
                <w:sz w:val="18"/>
              </w:rPr>
              <w:t>A phone gives him a warning light. His body gives him clues he keeps explaining away.</w:t>
            </w:r>
          </w:p>
        </w:tc>
        <w:tc>
          <w:tcPr>
            <w:tcW w:type="dxa" w:w="2493"/>
          </w:tcPr>
          <w:p>
            <w:pPr>
              <w:jc w:val="left"/>
            </w:pPr>
            <w:r/>
            <w:r>
              <w:rPr>
                <w:rFonts w:ascii="Arial" w:hAnsi="Arial"/>
                <w:sz w:val="18"/>
              </w:rPr>
              <w:t>A WARNING LIGHT</w:t>
            </w:r>
          </w:p>
        </w:tc>
      </w:tr>
      <w:tr>
        <w:tc>
          <w:tcPr>
            <w:tcW w:type="dxa" w:w="2493"/>
          </w:tcPr>
          <w:p>
            <w:pPr>
              <w:jc w:val="left"/>
            </w:pPr>
            <w:r/>
            <w:r>
              <w:rPr>
                <w:rFonts w:ascii="Arial" w:hAnsi="Arial"/>
                <w:sz w:val="18"/>
              </w:rPr>
              <w:t>Serum window card: small bright line in blood, larger glow in bone and soft tissue.</w:t>
            </w:r>
          </w:p>
        </w:tc>
        <w:tc>
          <w:tcPr>
            <w:tcW w:type="dxa" w:w="2493"/>
          </w:tcPr>
          <w:p>
            <w:pPr>
              <w:jc w:val="left"/>
            </w:pPr>
            <w:r/>
            <w:r>
              <w:rPr>
                <w:rFonts w:ascii="Arial" w:hAnsi="Arial"/>
                <w:sz w:val="18"/>
              </w:rPr>
              <w:t>Proof</w:t>
            </w:r>
          </w:p>
        </w:tc>
        <w:tc>
          <w:tcPr>
            <w:tcW w:type="dxa" w:w="2493"/>
          </w:tcPr>
          <w:p>
            <w:pPr>
              <w:jc w:val="left"/>
            </w:pPr>
            <w:r/>
            <w:r>
              <w:rPr>
                <w:rFonts w:ascii="Arial" w:hAnsi="Arial"/>
                <w:sz w:val="18"/>
              </w:rPr>
              <w:t>Serum shows less than 1 percent of total magnesium. Normal can be a narrow window.</w:t>
            </w:r>
          </w:p>
        </w:tc>
        <w:tc>
          <w:tcPr>
            <w:tcW w:type="dxa" w:w="2493"/>
          </w:tcPr>
          <w:p>
            <w:pPr>
              <w:jc w:val="left"/>
            </w:pPr>
            <w:r/>
            <w:r>
              <w:rPr>
                <w:rFonts w:ascii="Arial" w:hAnsi="Arial"/>
                <w:sz w:val="18"/>
              </w:rPr>
              <w:t>NORMAL CAN BE NARROW</w:t>
            </w:r>
          </w:p>
        </w:tc>
      </w:tr>
      <w:tr>
        <w:tc>
          <w:tcPr>
            <w:tcW w:type="dxa" w:w="2493"/>
          </w:tcPr>
          <w:p>
            <w:pPr>
              <w:jc w:val="left"/>
            </w:pPr>
            <w:r/>
            <w:r>
              <w:rPr>
                <w:rFonts w:ascii="Arial" w:hAnsi="Arial"/>
                <w:sz w:val="18"/>
              </w:rPr>
              <w:t>Body-map icons for energy, nerve, and muscle. Keep it editorial.</w:t>
            </w:r>
          </w:p>
        </w:tc>
        <w:tc>
          <w:tcPr>
            <w:tcW w:type="dxa" w:w="2493"/>
          </w:tcPr>
          <w:p>
            <w:pPr>
              <w:jc w:val="left"/>
            </w:pPr>
            <w:r/>
            <w:r>
              <w:rPr>
                <w:rFonts w:ascii="Arial" w:hAnsi="Arial"/>
                <w:sz w:val="18"/>
              </w:rPr>
              <w:t>Mechanism</w:t>
            </w:r>
          </w:p>
        </w:tc>
        <w:tc>
          <w:tcPr>
            <w:tcW w:type="dxa" w:w="2493"/>
          </w:tcPr>
          <w:p>
            <w:pPr>
              <w:jc w:val="left"/>
            </w:pPr>
            <w:r/>
            <w:r>
              <w:rPr>
                <w:rFonts w:ascii="Arial" w:hAnsi="Arial"/>
                <w:sz w:val="18"/>
              </w:rPr>
              <w:t>Magnesium supports hundreds of enzyme systems, including energy, nerve, and muscle function.</w:t>
            </w:r>
          </w:p>
        </w:tc>
        <w:tc>
          <w:tcPr>
            <w:tcW w:type="dxa" w:w="2493"/>
          </w:tcPr>
          <w:p>
            <w:pPr>
              <w:jc w:val="left"/>
            </w:pPr>
            <w:r/>
            <w:r>
              <w:rPr>
                <w:rFonts w:ascii="Arial" w:hAnsi="Arial"/>
                <w:sz w:val="18"/>
              </w:rPr>
              <w:t>HUNDREDS OF SYSTEMS</w:t>
            </w:r>
          </w:p>
        </w:tc>
      </w:tr>
      <w:tr>
        <w:tc>
          <w:tcPr>
            <w:tcW w:type="dxa" w:w="2493"/>
          </w:tcPr>
          <w:p>
            <w:pPr>
              <w:jc w:val="left"/>
            </w:pPr>
            <w:r/>
            <w:r>
              <w:rPr>
                <w:rFonts w:ascii="Arial" w:hAnsi="Arial"/>
                <w:sz w:val="18"/>
              </w:rPr>
              <w:t>Clean form-board reveal. Twelve cards settle around the real bottle.</w:t>
            </w:r>
          </w:p>
        </w:tc>
        <w:tc>
          <w:tcPr>
            <w:tcW w:type="dxa" w:w="2493"/>
          </w:tcPr>
          <w:p>
            <w:pPr>
              <w:jc w:val="left"/>
            </w:pPr>
            <w:r/>
            <w:r>
              <w:rPr>
                <w:rFonts w:ascii="Arial" w:hAnsi="Arial"/>
                <w:sz w:val="18"/>
              </w:rPr>
              <w:t>Product reveal</w:t>
            </w:r>
          </w:p>
        </w:tc>
        <w:tc>
          <w:tcPr>
            <w:tcW w:type="dxa" w:w="2493"/>
          </w:tcPr>
          <w:p>
            <w:pPr>
              <w:jc w:val="left"/>
            </w:pPr>
            <w:r/>
            <w:r>
              <w:rPr>
                <w:rFonts w:ascii="Arial" w:hAnsi="Arial"/>
                <w:sz w:val="18"/>
              </w:rPr>
              <w:t>Puravita puts 12 active magnesium forms in one capsule formula. Now the form list is the story.</w:t>
            </w:r>
          </w:p>
        </w:tc>
        <w:tc>
          <w:tcPr>
            <w:tcW w:type="dxa" w:w="2493"/>
          </w:tcPr>
          <w:p>
            <w:pPr>
              <w:jc w:val="left"/>
            </w:pPr>
            <w:r/>
            <w:r>
              <w:rPr>
                <w:rFonts w:ascii="Arial" w:hAnsi="Arial"/>
                <w:sz w:val="18"/>
              </w:rPr>
              <w:t>12 ACTIVE FORMS</w:t>
            </w:r>
          </w:p>
        </w:tc>
      </w:tr>
      <w:tr>
        <w:tc>
          <w:tcPr>
            <w:tcW w:type="dxa" w:w="2493"/>
          </w:tcPr>
          <w:p>
            <w:pPr>
              <w:jc w:val="left"/>
            </w:pPr>
            <w:r/>
            <w:r>
              <w:rPr>
                <w:rFonts w:ascii="Arial" w:hAnsi="Arial"/>
                <w:sz w:val="18"/>
              </w:rPr>
              <w:t>Bottle and form list. CTA appears after the voice lands.</w:t>
            </w:r>
          </w:p>
        </w:tc>
        <w:tc>
          <w:tcPr>
            <w:tcW w:type="dxa" w:w="2493"/>
          </w:tcPr>
          <w:p>
            <w:pPr>
              <w:jc w:val="left"/>
            </w:pPr>
            <w:r/>
            <w:r>
              <w:rPr>
                <w:rFonts w:ascii="Arial" w:hAnsi="Arial"/>
                <w:sz w:val="18"/>
              </w:rPr>
              <w:t>CTA</w:t>
            </w:r>
          </w:p>
        </w:tc>
        <w:tc>
          <w:tcPr>
            <w:tcW w:type="dxa" w:w="2493"/>
          </w:tcPr>
          <w:p>
            <w:pPr>
              <w:jc w:val="left"/>
            </w:pPr>
            <w:r/>
            <w:r>
              <w:rPr>
                <w:rFonts w:ascii="Arial" w:hAnsi="Arial"/>
                <w:sz w:val="18"/>
              </w:rPr>
              <w:t>Open the product page. Read the forms. Then compare it to the simpler bottle he was about to buy.</w:t>
            </w:r>
          </w:p>
        </w:tc>
        <w:tc>
          <w:tcPr>
            <w:tcW w:type="dxa" w:w="2493"/>
          </w:tcPr>
          <w:p>
            <w:pPr>
              <w:jc w:val="left"/>
            </w:pPr>
            <w:r/>
            <w:r>
              <w:rPr>
                <w:rFonts w:ascii="Arial" w:hAnsi="Arial"/>
                <w:sz w:val="18"/>
              </w:rPr>
              <w:t>READ THE FORMS</w:t>
            </w:r>
          </w:p>
        </w:tc>
      </w:tr>
    </w:tbl>
    <w:p>
      <w:pPr>
        <w:spacing w:before="400" w:after="80"/>
      </w:pPr>
      <w:r>
        <w:rPr>
          <w:rFonts w:ascii="Arial" w:hAnsi="Arial"/>
          <w:b/>
          <w:color w:val="0074FE"/>
          <w:sz w:val="28"/>
        </w:rPr>
        <w:t>Notes</w:t>
      </w:r>
    </w:p>
    <w:p>
      <w:pPr>
        <w:spacing w:before="80" w:after="80"/>
      </w:pPr>
      <w:r/>
      <w:r>
        <w:rPr>
          <w:rFonts w:ascii="Arial" w:hAnsi="Arial"/>
          <w:sz w:val="20"/>
        </w:rPr>
        <w:t>Note: Use label/PDP-approved structure-function claims only. Final edit must match the live PDP and label. Keep the avatar inside a third-person narrative rather than diagnosing the viewer. Avoid depletion certainty, sleep cures, fatigue claims as a promised outcome, disease language, named-influencer dependency, and diagnosis framing. Source anchors: Puravita PDP, original TrendScale source brief, and NIH ODS Magnesium Health Professional Fact Sheet.</w:t>
      </w:r>
    </w:p>
    <w:p>
      <w:pPr>
        <w:spacing w:before="560"/>
        <w:jc w:val="center"/>
        <w:pBdr>
          <w:top w:val="single" w:sz="4" w:space="4" w:color="CCCCCC"/>
        </w:pBdr>
      </w:pPr>
      <w:r>
        <w:rPr>
          <w:color w:val="808080"/>
          <w:sz w:val="18"/>
        </w:rPr>
        <w:t>TrendScale  ·  Brief Template v1.3  ·  trendscale.net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1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