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rFonts w:ascii="Arial" w:hAnsi="Arial"/>
          <w:b/>
          <w:color w:val="0074FE"/>
          <w:sz w:val="52"/>
        </w:rPr>
        <w:t>TRENDSCALE BRIEF</w:t>
      </w:r>
    </w:p>
    <w:p>
      <w:pPr>
        <w:spacing w:before="160" w:after="240"/>
      </w:pPr>
      <w:r/>
      <w:r>
        <w:rPr>
          <w:rFonts w:ascii="Arial" w:hAnsi="Arial"/>
          <w:sz w:val="20"/>
        </w:rPr>
        <w:t>Client-facing production brief. v3 script-quality pass for founder review and editor handoff.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Strategic header</w:t>
      </w:r>
    </w:p>
    <w:p>
      <w:pPr>
        <w:spacing w:before="80" w:after="80"/>
      </w:pPr>
      <w:r/>
      <w:r>
        <w:rPr>
          <w:rFonts w:ascii="Arial" w:hAnsi="Arial"/>
          <w:sz w:val="20"/>
        </w:rPr>
        <w:t>Strategist: Farrice Cain</w:t>
      </w:r>
    </w:p>
    <w:p>
      <w:pPr>
        <w:spacing w:before="80" w:after="80"/>
      </w:pPr>
      <w:r/>
      <w:r>
        <w:rPr>
          <w:rFonts w:ascii="Arial" w:hAnsi="Arial"/>
          <w:sz w:val="20"/>
        </w:rPr>
        <w:t>Client: JCKED - Liquid L-Carnitine 4000mg</w:t>
      </w:r>
    </w:p>
    <w:p>
      <w:pPr>
        <w:spacing w:before="80" w:after="80"/>
      </w:pPr>
      <w:r/>
      <w:r>
        <w:rPr>
          <w:rFonts w:ascii="Arial" w:hAnsi="Arial"/>
          <w:sz w:val="20"/>
        </w:rPr>
        <w:t>PDP: https://jcked.com/products/liquid-l-carnitine-4000mg-of1</w:t>
      </w:r>
    </w:p>
    <w:p>
      <w:pPr>
        <w:spacing w:before="80" w:after="80"/>
      </w:pPr>
      <w:r/>
      <w:r>
        <w:rPr>
          <w:rFonts w:ascii="Arial" w:hAnsi="Arial"/>
          <w:sz w:val="20"/>
        </w:rPr>
        <w:t>Media buyer notes: Control test: dose-gap label comparison. Lead with prior-bottle doubt, then show why 4,000mg liquid L-carnitine deserves a different label read. Use competitor dose contrast only when specific labels are verified.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type: Iteration</w:t>
      </w:r>
    </w:p>
    <w:p>
      <w:pPr>
        <w:spacing w:before="80" w:after="80"/>
      </w:pPr>
      <w:r/>
      <w:r>
        <w:rPr>
          <w:rFonts w:ascii="Arial" w:hAnsi="Arial"/>
          <w:sz w:val="20"/>
        </w:rPr>
        <w:t>Iterated from: The Locked Vault control concept.</w:t>
      </w:r>
    </w:p>
    <w:p>
      <w:pPr>
        <w:spacing w:before="80" w:after="80"/>
      </w:pPr>
      <w:r/>
      <w:r>
        <w:rPr>
          <w:rFonts w:ascii="Arial" w:hAnsi="Arial"/>
          <w:sz w:val="20"/>
        </w:rPr>
        <w:t>Avatar: Male, 35 to 50. He trains, tracks, and has already bought supplements. He is skeptical of fat-loss ads, but he will inspect a clear dose and mechanism argument.</w:t>
      </w:r>
    </w:p>
    <w:p>
      <w:pPr>
        <w:spacing w:before="80" w:after="80"/>
      </w:pPr>
      <w:r/>
      <w:r>
        <w:rPr>
          <w:rFonts w:ascii="Arial" w:hAnsi="Arial"/>
          <w:sz w:val="20"/>
        </w:rPr>
        <w:t>Awareness level: Problem aware to Solution aware</w:t>
      </w:r>
    </w:p>
    <w:p>
      <w:pPr>
        <w:spacing w:before="80" w:after="80"/>
      </w:pPr>
      <w:r/>
      <w:r>
        <w:rPr>
          <w:rFonts w:ascii="Arial" w:hAnsi="Arial"/>
          <w:sz w:val="20"/>
        </w:rPr>
        <w:t>Hypothesis: Cold traffic will stop when the ad makes an old product failure feel unresolved. Start with the half-used L-carnitine bottle, turn on dose, and make the click a label comparison.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Inspiration and editing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inspo: Half-used bottle, cabinet mirror, locked vault, amber key, mitochondria gate, clean dose cards, real product on counter.</w:t>
      </w:r>
    </w:p>
    <w:p>
      <w:pPr>
        <w:spacing w:before="80" w:after="80"/>
      </w:pPr>
      <w:r/>
      <w:r>
        <w:rPr>
          <w:rFonts w:ascii="Arial" w:hAnsi="Arial"/>
          <w:sz w:val="20"/>
        </w:rPr>
        <w:t>Cast type: HeyGen presenter with cinematic AI b-roll and real product photography.</w:t>
      </w:r>
    </w:p>
    <w:p>
      <w:pPr>
        <w:spacing w:before="80" w:after="80"/>
      </w:pPr>
      <w:r/>
      <w:r>
        <w:rPr>
          <w:rFonts w:ascii="Arial" w:hAnsi="Arial"/>
          <w:sz w:val="20"/>
        </w:rPr>
        <w:t>AI avatar look: Male, 38 to 45, understated, clean but lived-in. Neutral kitchen or study. Simple dark overshirt or crewneck. Calm strategist energy, no doctor coat.</w:t>
      </w:r>
    </w:p>
    <w:p>
      <w:pPr>
        <w:spacing w:before="80" w:after="80"/>
      </w:pPr>
      <w:r/>
      <w:r>
        <w:rPr>
          <w:rFonts w:ascii="Arial" w:hAnsi="Arial"/>
          <w:sz w:val="20"/>
        </w:rPr>
        <w:t>Pacing: Hard first 3 seconds, fast dose reveal, measured mechanism, quiet product hold.</w:t>
      </w:r>
    </w:p>
    <w:p>
      <w:pPr>
        <w:spacing w:before="80" w:after="80"/>
      </w:pPr>
      <w:r/>
      <w:r>
        <w:rPr>
          <w:rFonts w:ascii="Arial" w:hAnsi="Arial"/>
          <w:sz w:val="20"/>
        </w:rPr>
        <w:t>Main emotion: Vindication. The viewer should feel the old test may have been incomplete.</w:t>
      </w:r>
    </w:p>
    <w:p>
      <w:pPr>
        <w:spacing w:before="80" w:after="80"/>
      </w:pPr>
      <w:r/>
      <w:r>
        <w:rPr>
          <w:rFonts w:ascii="Arial" w:hAnsi="Arial"/>
          <w:sz w:val="20"/>
        </w:rPr>
        <w:t>Voiceover: Plain, clipped, and specific. Short sentences. No hype cadence.</w:t>
      </w:r>
    </w:p>
    <w:p>
      <w:pPr>
        <w:spacing w:before="80" w:after="80"/>
      </w:pPr>
      <w:r/>
      <w:r>
        <w:rPr>
          <w:rFonts w:ascii="Arial" w:hAnsi="Arial"/>
          <w:sz w:val="20"/>
        </w:rPr>
        <w:t>Music: Sparse low pulse at minus 18dB. Drop under the final label line.</w:t>
      </w:r>
    </w:p>
    <w:p>
      <w:pPr>
        <w:spacing w:before="80" w:after="80"/>
      </w:pPr>
      <w:r/>
      <w:r>
        <w:rPr>
          <w:rFonts w:ascii="Arial" w:hAnsi="Arial"/>
          <w:sz w:val="20"/>
        </w:rPr>
        <w:t>Caption style: Manual burned-in captions. Six words per frame maximum. Amber only for key, gate, and dose-card moments.</w:t>
      </w:r>
    </w:p>
    <w:p>
      <w:pPr>
        <w:spacing w:before="80" w:after="80"/>
      </w:pPr>
      <w:r/>
      <w:r>
        <w:rPr>
          <w:rFonts w:ascii="Arial" w:hAnsi="Arial"/>
          <w:sz w:val="20"/>
        </w:rPr>
        <w:t>Overall direction: Use one hook, then run the body rows in order. Keep the locked-vault visual system, but make the spoken copy about dose, transport, and label inspection.</w:t>
      </w:r>
    </w:p>
    <w:p>
      <w:pPr>
        <w:spacing w:before="80" w:after="80"/>
      </w:pPr>
      <w:r/>
      <w:r>
        <w:rPr>
          <w:rFonts w:ascii="Arial" w:hAnsi="Arial"/>
          <w:sz w:val="20"/>
        </w:rPr>
        <w:t>Editing notes: Open on a real object, not a body. Use cabinet, label, dose card, vault, and mitochondria visuals. Avoid body photos, scale imagery, before-after comparisons, doctor visuals, panic urgency, and template effects.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Script</w:t>
      </w:r>
    </w:p>
    <w:p>
      <w:pPr>
        <w:spacing w:before="80" w:after="80"/>
      </w:pPr>
      <w:r/>
      <w:r>
        <w:rPr>
          <w:rFonts w:ascii="Arial" w:hAnsi="Arial"/>
          <w:sz w:val="20"/>
        </w:rPr>
        <w:t>Format: Video, 9:16, 30 seconds. Optional 6-card static carousel using the dose-contrast angle.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Visual / editing notes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Script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On-screen text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Half-used L-carnitine bottle in a bathroom cabinet. Thumb turns the label toward camera.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Before writing off L-carnitine, check the dose.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CHECK THE DOSE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Two clean cards: 500mg on the left, JCKED 4,000mg on the right. No competitor logo.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 500mg label and a 4,000mg label are two different tests.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TWO DIFFERENT TESTS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Locked amber vault inside a stylized cell. A key stops just short of the gate.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Stored fuel still needs transport. That is the part most ads skip.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FUEL NEEDS TRANSPORT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Cinematic mitochondria gate. L-carnitine tag moves with a long-chain fatty acid.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Mechanism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L-carnitine helps move long-chain fatty acids into mitochondria. That is where they can be used for energy.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TRANSPORT BEFORE FUEL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Dose card returns. Prior bottle fades back. JCKED 4,000mg stays sharp.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Dose turn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So the question changes. Did the ingredient fail, or did the serving never get a fair test?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DID THE DOSE HOLD UP?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Real JCKED bottle on a counter. Amber key line points to the 4,000mg claim.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Product reveal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JCKED puts 4,000mg liquid L-carnitine on the label. That is the number to look for.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4,000MG LIQUID L-CARNITINE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Bottle hold. Quick label comparison card. CTA appears after the voice lands.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CTA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Read the label. Compare the serving. Then decide which test you actually ran.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COMPARE THE SERVING</w:t>
            </w:r>
          </w:p>
        </w:tc>
      </w:tr>
    </w:tbl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Notes</w:t>
      </w:r>
    </w:p>
    <w:p>
      <w:pPr>
        <w:spacing w:before="80" w:after="80"/>
      </w:pPr>
      <w:r/>
      <w:r>
        <w:rPr>
          <w:rFonts w:ascii="Arial" w:hAnsi="Arial"/>
          <w:sz w:val="20"/>
        </w:rPr>
        <w:t>Note: Structure-function language only. Final edit must match the PDP and label. Avoid hard fat-loss promises, disease claims, personal-attribute callouts, and unverified competitor claims. Source anchors: NIH ODS Carnitine Health Professional Fact Sheet, https://ods.od.nih.gov/factsheets/Carnitine-HealthProfessional/; Linus Pauling Institute L-Carnitine, https://lpi.oregonstate.edu/mic/dietary-factors/L-carnitine.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8"/>
        </w:rPr>
        <w:t>TrendScale  ·  Brief Template v1.3  ·  trendscale.net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