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Bdr>
          <w:bottom w:val="single" w:sz="24" w:space="4" w:color="0074FE"/>
        </w:pBdr>
      </w:pPr>
      <w:r>
        <w:rPr>
          <w:rFonts w:ascii="Arial" w:hAnsi="Arial"/>
          <w:b/>
          <w:color w:val="0074FE"/>
          <w:sz w:val="52"/>
        </w:rPr>
        <w:t>TRENDSCALE BRIEF</w:t>
      </w:r>
    </w:p>
    <w:p>
      <w:pPr>
        <w:spacing w:before="160" w:after="240"/>
      </w:pPr>
      <w:r/>
      <w:r>
        <w:rPr>
          <w:rFonts w:ascii="Arial" w:hAnsi="Arial"/>
          <w:sz w:val="20"/>
        </w:rPr>
        <w:t>Client-facing production brief for paid social review and editor handoff.</w:t>
      </w:r>
    </w:p>
    <w:p>
      <w:pPr>
        <w:spacing w:before="400" w:after="80"/>
      </w:pPr>
      <w:r>
        <w:rPr>
          <w:rFonts w:ascii="Arial" w:hAnsi="Arial"/>
          <w:b/>
          <w:color w:val="0074FE"/>
          <w:sz w:val="28"/>
        </w:rPr>
        <w:t>Strategic header</w:t>
      </w:r>
    </w:p>
    <w:p>
      <w:pPr>
        <w:spacing w:before="80" w:after="80"/>
      </w:pPr>
      <w:r/>
      <w:r>
        <w:rPr>
          <w:rFonts w:ascii="Arial" w:hAnsi="Arial"/>
          <w:sz w:val="20"/>
        </w:rPr>
        <w:t>Strategist: Farrice Cain</w:t>
      </w:r>
    </w:p>
    <w:p>
      <w:pPr>
        <w:spacing w:before="80" w:after="80"/>
      </w:pPr>
      <w:r/>
      <w:r>
        <w:rPr>
          <w:rFonts w:ascii="Arial" w:hAnsi="Arial"/>
          <w:sz w:val="20"/>
        </w:rPr>
        <w:t>Client: JCKED - Liquid L-Carnitine 4000MG</w:t>
      </w:r>
    </w:p>
    <w:p>
      <w:pPr>
        <w:spacing w:before="80" w:after="80"/>
      </w:pPr>
      <w:r/>
      <w:r>
        <w:rPr>
          <w:rFonts w:ascii="Arial" w:hAnsi="Arial"/>
          <w:sz w:val="20"/>
        </w:rPr>
        <w:t>PDP: https://jcked.com/products/liquid-l-carnitine-4000mg-of1</w:t>
      </w:r>
    </w:p>
    <w:p>
      <w:pPr>
        <w:spacing w:before="80" w:after="80"/>
      </w:pPr>
      <w:r/>
      <w:r>
        <w:rPr>
          <w:rFonts w:ascii="Arial" w:hAnsi="Arial"/>
          <w:sz w:val="20"/>
        </w:rPr>
        <w:t>Production note: Recommended control is Hook 1. The script column is exact spoken voiceover. The PDP verifies the product title, 4,000mg liquid L-carnitine positioning, 15mL serving, and liquid delivery. Keep the competitor contrast as label comparison unless specific competitor labels are cleared.</w:t>
      </w:r>
    </w:p>
    <w:p>
      <w:pPr>
        <w:spacing w:before="80" w:after="80"/>
      </w:pPr>
      <w:r/>
      <w:r>
        <w:rPr>
          <w:rFonts w:ascii="Arial" w:hAnsi="Arial"/>
          <w:sz w:val="20"/>
        </w:rPr>
        <w:t>Concept type: Iteration</w:t>
      </w:r>
    </w:p>
    <w:p>
      <w:pPr>
        <w:spacing w:before="80" w:after="80"/>
      </w:pPr>
      <w:r/>
      <w:r>
        <w:rPr>
          <w:rFonts w:ascii="Arial" w:hAnsi="Arial"/>
          <w:sz w:val="20"/>
        </w:rPr>
        <w:t>Iterated from: The Locked Vault control concept.</w:t>
      </w:r>
    </w:p>
    <w:p>
      <w:pPr>
        <w:spacing w:before="80" w:after="80"/>
      </w:pPr>
      <w:r/>
      <w:r>
        <w:rPr>
          <w:rFonts w:ascii="Arial" w:hAnsi="Arial"/>
          <w:sz w:val="20"/>
        </w:rPr>
        <w:t>Avatar: Male, 35 to 50. He has a cabinet graveyard of half-used supplements and does not trust transformation language. He will stop for a label contradiction: maybe the ingredient was blamed before the serving was checked.</w:t>
      </w:r>
    </w:p>
    <w:p>
      <w:pPr>
        <w:spacing w:before="80" w:after="80"/>
      </w:pPr>
      <w:r/>
      <w:r>
        <w:rPr>
          <w:rFonts w:ascii="Arial" w:hAnsi="Arial"/>
          <w:sz w:val="20"/>
        </w:rPr>
        <w:t>Awareness level: Problem aware to Solution aware</w:t>
      </w:r>
    </w:p>
    <w:p>
      <w:pPr>
        <w:spacing w:before="80" w:after="80"/>
      </w:pPr>
      <w:r/>
      <w:r>
        <w:rPr>
          <w:rFonts w:ascii="Arial" w:hAnsi="Arial"/>
          <w:sz w:val="20"/>
        </w:rPr>
        <w:t>Hypothesis: The vault metaphor works when it reopens an old purchase. Start with the bottle he already dismissed, turn the label around, then make 4,000mg feel like the number that changes the read.</w:t>
      </w:r>
    </w:p>
    <w:p>
      <w:pPr>
        <w:spacing w:before="400" w:after="80"/>
      </w:pPr>
      <w:r>
        <w:rPr>
          <w:rFonts w:ascii="Arial" w:hAnsi="Arial"/>
          <w:b/>
          <w:color w:val="0074FE"/>
          <w:sz w:val="28"/>
        </w:rPr>
        <w:t>Inspiration and editing</w:t>
      </w:r>
    </w:p>
    <w:p>
      <w:pPr>
        <w:spacing w:before="80" w:after="80"/>
      </w:pPr>
      <w:r/>
      <w:r>
        <w:rPr>
          <w:rFonts w:ascii="Arial" w:hAnsi="Arial"/>
          <w:sz w:val="20"/>
        </w:rPr>
        <w:t>Concept inspo: Half-used bottle, bathroom cabinet, locked vault, amber key, mitochondrial gate, serving-size cards, real product on counter.</w:t>
      </w:r>
    </w:p>
    <w:p>
      <w:pPr>
        <w:spacing w:before="80" w:after="80"/>
      </w:pPr>
      <w:r/>
      <w:r>
        <w:rPr>
          <w:rFonts w:ascii="Arial" w:hAnsi="Arial"/>
          <w:sz w:val="20"/>
        </w:rPr>
        <w:t>Cast type: HeyGen presenter with cinematic AI b-roll and real product photography.</w:t>
      </w:r>
    </w:p>
    <w:p>
      <w:pPr>
        <w:spacing w:before="80" w:after="80"/>
      </w:pPr>
      <w:r/>
      <w:r>
        <w:rPr>
          <w:rFonts w:ascii="Arial" w:hAnsi="Arial"/>
          <w:sz w:val="20"/>
        </w:rPr>
        <w:t>AI avatar look: Male, 38 to 45, understated, clean but lived-in. Neutral kitchen or study. Simple dark overshirt or crewneck. Calm strategist energy, no doctor coat.</w:t>
      </w:r>
    </w:p>
    <w:p>
      <w:pPr>
        <w:spacing w:before="80" w:after="80"/>
      </w:pPr>
      <w:r/>
      <w:r>
        <w:rPr>
          <w:rFonts w:ascii="Arial" w:hAnsi="Arial"/>
          <w:sz w:val="20"/>
        </w:rPr>
        <w:t>Pacing: Object open, label turn, mechanism, dose card, product hold, soft click.</w:t>
      </w:r>
    </w:p>
    <w:p>
      <w:pPr>
        <w:spacing w:before="80" w:after="80"/>
      </w:pPr>
      <w:r/>
      <w:r>
        <w:rPr>
          <w:rFonts w:ascii="Arial" w:hAnsi="Arial"/>
          <w:sz w:val="20"/>
        </w:rPr>
        <w:t>Main emotion: Vindication. The viewer should feel the old bottle may have been a weak test, not a final answer.</w:t>
      </w:r>
    </w:p>
    <w:p>
      <w:pPr>
        <w:spacing w:before="80" w:after="80"/>
      </w:pPr>
      <w:r/>
      <w:r>
        <w:rPr>
          <w:rFonts w:ascii="Arial" w:hAnsi="Arial"/>
          <w:sz w:val="20"/>
        </w:rPr>
        <w:t>Voiceover: Low, plain, and forensic. Read the script column as written. No extra explainer copy.</w:t>
      </w:r>
    </w:p>
    <w:p>
      <w:pPr>
        <w:spacing w:before="80" w:after="80"/>
      </w:pPr>
      <w:r/>
      <w:r>
        <w:rPr>
          <w:rFonts w:ascii="Arial" w:hAnsi="Arial"/>
          <w:sz w:val="20"/>
        </w:rPr>
        <w:t>Music: Sparse low pulse at minus 18dB. Drop under the final label line.</w:t>
      </w:r>
    </w:p>
    <w:p>
      <w:pPr>
        <w:spacing w:before="80" w:after="80"/>
      </w:pPr>
      <w:r/>
      <w:r>
        <w:rPr>
          <w:rFonts w:ascii="Arial" w:hAnsi="Arial"/>
          <w:sz w:val="20"/>
        </w:rPr>
        <w:t>Caption style: Manual burned-in captions. Six words per frame maximum. Amber only for key, gate, and dose-card moments.</w:t>
      </w:r>
    </w:p>
    <w:p>
      <w:pPr>
        <w:spacing w:before="80" w:after="80"/>
      </w:pPr>
      <w:r/>
      <w:r>
        <w:rPr>
          <w:rFonts w:ascii="Arial" w:hAnsi="Arial"/>
          <w:sz w:val="20"/>
        </w:rPr>
        <w:t>Overall direction: Use one hook, then continue through the body rows in order. The ad should feel like a skeptical label check, not a fat-loss pitch.</w:t>
      </w:r>
    </w:p>
    <w:p>
      <w:pPr>
        <w:spacing w:before="80" w:after="80"/>
      </w:pPr>
      <w:r/>
      <w:r>
        <w:rPr>
          <w:rFonts w:ascii="Arial" w:hAnsi="Arial"/>
          <w:sz w:val="20"/>
        </w:rPr>
        <w:t>Editing notes: Use cabinet, label, dose card, vault, and mitochondria visuals. Avoid body photos, scale imagery, before-after comparisons, doctor visuals, panic urgency, and template effects. Keep the bottle real.</w:t>
      </w:r>
    </w:p>
    <w:p>
      <w:pPr>
        <w:spacing w:before="400" w:after="80"/>
      </w:pPr>
      <w:r>
        <w:rPr>
          <w:rFonts w:ascii="Arial" w:hAnsi="Arial"/>
          <w:b/>
          <w:color w:val="0074FE"/>
          <w:sz w:val="28"/>
        </w:rPr>
        <w:t>Script</w:t>
      </w:r>
    </w:p>
    <w:p>
      <w:pPr>
        <w:spacing w:before="80" w:after="80"/>
      </w:pPr>
      <w:r/>
      <w:r>
        <w:rPr>
          <w:rFonts w:ascii="Arial" w:hAnsi="Arial"/>
          <w:sz w:val="20"/>
        </w:rPr>
        <w:t>Format: Video, 9:16, 30 seconds. Optional 6-card static carousel using the serving-size contrast.</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fill="0074FE"/>
            <w:tcBorders>
              <w:top w:val="single" w:sz="4" w:color="CCCCCC"/>
              <w:left w:val="single" w:sz="4" w:color="CCCCCC"/>
              <w:bottom w:val="single" w:sz="4" w:color="CCCCCC"/>
              <w:right w:val="single" w:sz="4" w:color="CCCCCC"/>
            </w:tcBorders>
          </w:tcPr>
          <w:p>
            <w:r>
              <w:rPr>
                <w:b/>
                <w:color w:val="FFFFFF"/>
                <w:sz w:val="22"/>
              </w:rPr>
              <w:t>Visual / editing notes</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Section</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Script</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On-screen text</w:t>
            </w:r>
          </w:p>
        </w:tc>
      </w:tr>
      <w:tr>
        <w:tc>
          <w:tcPr>
            <w:tcW w:type="dxa" w:w="2493"/>
          </w:tcPr>
          <w:p>
            <w:pPr>
              <w:jc w:val="left"/>
            </w:pPr>
            <w:r/>
            <w:r>
              <w:rPr>
                <w:rFonts w:ascii="Arial" w:hAnsi="Arial"/>
                <w:sz w:val="18"/>
              </w:rPr>
              <w:t>Half-used L-carnitine bottle in a bathroom cabinet. Thumb turns the label toward camera.</w:t>
            </w:r>
          </w:p>
        </w:tc>
        <w:tc>
          <w:tcPr>
            <w:tcW w:type="dxa" w:w="2493"/>
          </w:tcPr>
          <w:p>
            <w:pPr>
              <w:jc w:val="left"/>
            </w:pPr>
            <w:r/>
            <w:r>
              <w:rPr>
                <w:rFonts w:ascii="Arial" w:hAnsi="Arial"/>
                <w:sz w:val="18"/>
              </w:rPr>
              <w:t>Hook 1</w:t>
            </w:r>
          </w:p>
        </w:tc>
        <w:tc>
          <w:tcPr>
            <w:tcW w:type="dxa" w:w="2493"/>
          </w:tcPr>
          <w:p>
            <w:pPr>
              <w:jc w:val="left"/>
            </w:pPr>
            <w:r/>
            <w:r>
              <w:rPr>
                <w:rFonts w:ascii="Arial" w:hAnsi="Arial"/>
                <w:sz w:val="18"/>
              </w:rPr>
              <w:t>That L-carnitine bottle in the cabinet may have blamed the wrong thing. Before the ingredient takes the hit, turn the label around.</w:t>
            </w:r>
          </w:p>
        </w:tc>
        <w:tc>
          <w:tcPr>
            <w:tcW w:type="dxa" w:w="2493"/>
          </w:tcPr>
          <w:p>
            <w:pPr>
              <w:jc w:val="left"/>
            </w:pPr>
            <w:r/>
            <w:r>
              <w:rPr>
                <w:rFonts w:ascii="Arial" w:hAnsi="Arial"/>
                <w:sz w:val="18"/>
              </w:rPr>
              <w:t>TURN THE LABEL AROUND</w:t>
            </w:r>
          </w:p>
        </w:tc>
      </w:tr>
      <w:tr>
        <w:tc>
          <w:tcPr>
            <w:tcW w:type="dxa" w:w="2493"/>
          </w:tcPr>
          <w:p>
            <w:pPr>
              <w:jc w:val="left"/>
            </w:pPr>
            <w:r/>
            <w:r>
              <w:rPr>
                <w:rFonts w:ascii="Arial" w:hAnsi="Arial"/>
                <w:sz w:val="18"/>
              </w:rPr>
              <w:t>Locked amber vault inside a stylized cell. A key stops just short of the gate.</w:t>
            </w:r>
          </w:p>
        </w:tc>
        <w:tc>
          <w:tcPr>
            <w:tcW w:type="dxa" w:w="2493"/>
          </w:tcPr>
          <w:p>
            <w:pPr>
              <w:jc w:val="left"/>
            </w:pPr>
            <w:r/>
            <w:r>
              <w:rPr>
                <w:rFonts w:ascii="Arial" w:hAnsi="Arial"/>
                <w:sz w:val="18"/>
              </w:rPr>
              <w:t>Hook 2</w:t>
            </w:r>
          </w:p>
        </w:tc>
        <w:tc>
          <w:tcPr>
            <w:tcW w:type="dxa" w:w="2493"/>
          </w:tcPr>
          <w:p>
            <w:pPr>
              <w:jc w:val="left"/>
            </w:pPr>
            <w:r/>
            <w:r>
              <w:rPr>
                <w:rFonts w:ascii="Arial" w:hAnsi="Arial"/>
                <w:sz w:val="18"/>
              </w:rPr>
              <w:t>Stored fuel can sit behind a locked door. L-carnitine is part of the transport step that gets it to the furnace.</w:t>
            </w:r>
          </w:p>
        </w:tc>
        <w:tc>
          <w:tcPr>
            <w:tcW w:type="dxa" w:w="2493"/>
          </w:tcPr>
          <w:p>
            <w:pPr>
              <w:jc w:val="left"/>
            </w:pPr>
            <w:r/>
            <w:r>
              <w:rPr>
                <w:rFonts w:ascii="Arial" w:hAnsi="Arial"/>
                <w:sz w:val="18"/>
              </w:rPr>
              <w:t>THE DOOR STAYS SHUT</w:t>
            </w:r>
          </w:p>
        </w:tc>
      </w:tr>
      <w:tr>
        <w:tc>
          <w:tcPr>
            <w:tcW w:type="dxa" w:w="2493"/>
          </w:tcPr>
          <w:p>
            <w:pPr>
              <w:jc w:val="left"/>
            </w:pPr>
            <w:r/>
            <w:r>
              <w:rPr>
                <w:rFonts w:ascii="Arial" w:hAnsi="Arial"/>
                <w:sz w:val="18"/>
              </w:rPr>
              <w:t>Two clean cards: 500mg on the left, JCKED 4,000mg on the right. No competitor logo.</w:t>
            </w:r>
          </w:p>
        </w:tc>
        <w:tc>
          <w:tcPr>
            <w:tcW w:type="dxa" w:w="2493"/>
          </w:tcPr>
          <w:p>
            <w:pPr>
              <w:jc w:val="left"/>
            </w:pPr>
            <w:r/>
            <w:r>
              <w:rPr>
                <w:rFonts w:ascii="Arial" w:hAnsi="Arial"/>
                <w:sz w:val="18"/>
              </w:rPr>
              <w:t>Hook 3</w:t>
            </w:r>
          </w:p>
        </w:tc>
        <w:tc>
          <w:tcPr>
            <w:tcW w:type="dxa" w:w="2493"/>
          </w:tcPr>
          <w:p>
            <w:pPr>
              <w:jc w:val="left"/>
            </w:pPr>
            <w:r/>
            <w:r>
              <w:rPr>
                <w:rFonts w:ascii="Arial" w:hAnsi="Arial"/>
                <w:sz w:val="18"/>
              </w:rPr>
              <w:t>A 500mg label and a 4,000mg label are not the same test. Judge them the same, and the ingredient gets the blame.</w:t>
            </w:r>
          </w:p>
        </w:tc>
        <w:tc>
          <w:tcPr>
            <w:tcW w:type="dxa" w:w="2493"/>
          </w:tcPr>
          <w:p>
            <w:pPr>
              <w:jc w:val="left"/>
            </w:pPr>
            <w:r/>
            <w:r>
              <w:rPr>
                <w:rFonts w:ascii="Arial" w:hAnsi="Arial"/>
                <w:sz w:val="18"/>
              </w:rPr>
              <w:t>DIFFERENT TESTS</w:t>
            </w:r>
          </w:p>
        </w:tc>
      </w:tr>
      <w:tr>
        <w:tc>
          <w:tcPr>
            <w:tcW w:type="dxa" w:w="2493"/>
          </w:tcPr>
          <w:p>
            <w:pPr>
              <w:jc w:val="left"/>
            </w:pPr>
            <w:r/>
            <w:r>
              <w:rPr>
                <w:rFonts w:ascii="Arial" w:hAnsi="Arial"/>
                <w:sz w:val="18"/>
              </w:rPr>
              <w:t>Cinematic mitochondria gate. L-carnitine tag moves with a long-chain fatty acid.</w:t>
            </w:r>
          </w:p>
        </w:tc>
        <w:tc>
          <w:tcPr>
            <w:tcW w:type="dxa" w:w="2493"/>
          </w:tcPr>
          <w:p>
            <w:pPr>
              <w:jc w:val="left"/>
            </w:pPr>
            <w:r/>
            <w:r>
              <w:rPr>
                <w:rFonts w:ascii="Arial" w:hAnsi="Arial"/>
                <w:sz w:val="18"/>
              </w:rPr>
              <w:t>Mechanism</w:t>
            </w:r>
          </w:p>
        </w:tc>
        <w:tc>
          <w:tcPr>
            <w:tcW w:type="dxa" w:w="2493"/>
          </w:tcPr>
          <w:p>
            <w:pPr>
              <w:jc w:val="left"/>
            </w:pPr>
            <w:r/>
            <w:r>
              <w:rPr>
                <w:rFonts w:ascii="Arial" w:hAnsi="Arial"/>
                <w:sz w:val="18"/>
              </w:rPr>
              <w:t>L-carnitine helps move long-chain fatty acids into mitochondria, where they can be used for energy.</w:t>
            </w:r>
          </w:p>
        </w:tc>
        <w:tc>
          <w:tcPr>
            <w:tcW w:type="dxa" w:w="2493"/>
          </w:tcPr>
          <w:p>
            <w:pPr>
              <w:jc w:val="left"/>
            </w:pPr>
            <w:r/>
            <w:r>
              <w:rPr>
                <w:rFonts w:ascii="Arial" w:hAnsi="Arial"/>
                <w:sz w:val="18"/>
              </w:rPr>
              <w:t>FATTY ACID TRANSPORT</w:t>
            </w:r>
          </w:p>
        </w:tc>
      </w:tr>
      <w:tr>
        <w:tc>
          <w:tcPr>
            <w:tcW w:type="dxa" w:w="2493"/>
          </w:tcPr>
          <w:p>
            <w:pPr>
              <w:jc w:val="left"/>
            </w:pPr>
            <w:r/>
            <w:r>
              <w:rPr>
                <w:rFonts w:ascii="Arial" w:hAnsi="Arial"/>
                <w:sz w:val="18"/>
              </w:rPr>
              <w:t>Amber key reaches the vault. Gate opens just enough to show the metaphor.</w:t>
            </w:r>
          </w:p>
        </w:tc>
        <w:tc>
          <w:tcPr>
            <w:tcW w:type="dxa" w:w="2493"/>
          </w:tcPr>
          <w:p>
            <w:pPr>
              <w:jc w:val="left"/>
            </w:pPr>
            <w:r/>
            <w:r>
              <w:rPr>
                <w:rFonts w:ascii="Arial" w:hAnsi="Arial"/>
                <w:sz w:val="18"/>
              </w:rPr>
              <w:t>Vault turn</w:t>
            </w:r>
          </w:p>
        </w:tc>
        <w:tc>
          <w:tcPr>
            <w:tcW w:type="dxa" w:w="2493"/>
          </w:tcPr>
          <w:p>
            <w:pPr>
              <w:jc w:val="left"/>
            </w:pPr>
            <w:r/>
            <w:r>
              <w:rPr>
                <w:rFonts w:ascii="Arial" w:hAnsi="Arial"/>
                <w:sz w:val="18"/>
              </w:rPr>
              <w:t>The vault idea is simple: the key only matters if there is enough of it to test.</w:t>
            </w:r>
          </w:p>
        </w:tc>
        <w:tc>
          <w:tcPr>
            <w:tcW w:type="dxa" w:w="2493"/>
          </w:tcPr>
          <w:p>
            <w:pPr>
              <w:jc w:val="left"/>
            </w:pPr>
            <w:r/>
            <w:r>
              <w:rPr>
                <w:rFonts w:ascii="Arial" w:hAnsi="Arial"/>
                <w:sz w:val="18"/>
              </w:rPr>
              <w:t>THE LOCKED VAULT</w:t>
            </w:r>
          </w:p>
        </w:tc>
      </w:tr>
      <w:tr>
        <w:tc>
          <w:tcPr>
            <w:tcW w:type="dxa" w:w="2493"/>
          </w:tcPr>
          <w:p>
            <w:pPr>
              <w:jc w:val="left"/>
            </w:pPr>
            <w:r/>
            <w:r>
              <w:rPr>
                <w:rFonts w:ascii="Arial" w:hAnsi="Arial"/>
                <w:sz w:val="18"/>
              </w:rPr>
              <w:t>Real JCKED bottle on a counter. Macro label hold on 4,000mg and serving size.</w:t>
            </w:r>
          </w:p>
        </w:tc>
        <w:tc>
          <w:tcPr>
            <w:tcW w:type="dxa" w:w="2493"/>
          </w:tcPr>
          <w:p>
            <w:pPr>
              <w:jc w:val="left"/>
            </w:pPr>
            <w:r/>
            <w:r>
              <w:rPr>
                <w:rFonts w:ascii="Arial" w:hAnsi="Arial"/>
                <w:sz w:val="18"/>
              </w:rPr>
              <w:t>Product reveal</w:t>
            </w:r>
          </w:p>
        </w:tc>
        <w:tc>
          <w:tcPr>
            <w:tcW w:type="dxa" w:w="2493"/>
          </w:tcPr>
          <w:p>
            <w:pPr>
              <w:jc w:val="left"/>
            </w:pPr>
            <w:r/>
            <w:r>
              <w:rPr>
                <w:rFonts w:ascii="Arial" w:hAnsi="Arial"/>
                <w:sz w:val="18"/>
              </w:rPr>
              <w:t>JCKED puts 4,000mg liquid L-carnitine on the label, in a 15mL serving.</w:t>
            </w:r>
          </w:p>
        </w:tc>
        <w:tc>
          <w:tcPr>
            <w:tcW w:type="dxa" w:w="2493"/>
          </w:tcPr>
          <w:p>
            <w:pPr>
              <w:jc w:val="left"/>
            </w:pPr>
            <w:r/>
            <w:r>
              <w:rPr>
                <w:rFonts w:ascii="Arial" w:hAnsi="Arial"/>
                <w:sz w:val="18"/>
              </w:rPr>
              <w:t>4,000MG / 15ML</w:t>
            </w:r>
          </w:p>
        </w:tc>
      </w:tr>
      <w:tr>
        <w:tc>
          <w:tcPr>
            <w:tcW w:type="dxa" w:w="2493"/>
          </w:tcPr>
          <w:p>
            <w:pPr>
              <w:jc w:val="left"/>
            </w:pPr>
            <w:r/>
            <w:r>
              <w:rPr>
                <w:rFonts w:ascii="Arial" w:hAnsi="Arial"/>
                <w:sz w:val="18"/>
              </w:rPr>
              <w:t>Dose card returns. Prior bottle fades back. JCKED 4,000mg stays sharp.</w:t>
            </w:r>
          </w:p>
        </w:tc>
        <w:tc>
          <w:tcPr>
            <w:tcW w:type="dxa" w:w="2493"/>
          </w:tcPr>
          <w:p>
            <w:pPr>
              <w:jc w:val="left"/>
            </w:pPr>
            <w:r/>
            <w:r>
              <w:rPr>
                <w:rFonts w:ascii="Arial" w:hAnsi="Arial"/>
                <w:sz w:val="18"/>
              </w:rPr>
              <w:t>Decision turn</w:t>
            </w:r>
          </w:p>
        </w:tc>
        <w:tc>
          <w:tcPr>
            <w:tcW w:type="dxa" w:w="2493"/>
          </w:tcPr>
          <w:p>
            <w:pPr>
              <w:jc w:val="left"/>
            </w:pPr>
            <w:r/>
            <w:r>
              <w:rPr>
                <w:rFonts w:ascii="Arial" w:hAnsi="Arial"/>
                <w:sz w:val="18"/>
              </w:rPr>
              <w:t>That is the whole bet: serving first, promise second.</w:t>
            </w:r>
          </w:p>
        </w:tc>
        <w:tc>
          <w:tcPr>
            <w:tcW w:type="dxa" w:w="2493"/>
          </w:tcPr>
          <w:p>
            <w:pPr>
              <w:jc w:val="left"/>
            </w:pPr>
            <w:r/>
            <w:r>
              <w:rPr>
                <w:rFonts w:ascii="Arial" w:hAnsi="Arial"/>
                <w:sz w:val="18"/>
              </w:rPr>
              <w:t>LABEL FIRST</w:t>
            </w:r>
          </w:p>
        </w:tc>
      </w:tr>
      <w:tr>
        <w:tc>
          <w:tcPr>
            <w:tcW w:type="dxa" w:w="2493"/>
          </w:tcPr>
          <w:p>
            <w:pPr>
              <w:jc w:val="left"/>
            </w:pPr>
            <w:r/>
            <w:r>
              <w:rPr>
                <w:rFonts w:ascii="Arial" w:hAnsi="Arial"/>
                <w:sz w:val="18"/>
              </w:rPr>
              <w:t>Bottle hold. Quick label comparison card. CTA appears after the voice lands.</w:t>
            </w:r>
          </w:p>
        </w:tc>
        <w:tc>
          <w:tcPr>
            <w:tcW w:type="dxa" w:w="2493"/>
          </w:tcPr>
          <w:p>
            <w:pPr>
              <w:jc w:val="left"/>
            </w:pPr>
            <w:r/>
            <w:r>
              <w:rPr>
                <w:rFonts w:ascii="Arial" w:hAnsi="Arial"/>
                <w:sz w:val="18"/>
              </w:rPr>
              <w:t>CTA</w:t>
            </w:r>
          </w:p>
        </w:tc>
        <w:tc>
          <w:tcPr>
            <w:tcW w:type="dxa" w:w="2493"/>
          </w:tcPr>
          <w:p>
            <w:pPr>
              <w:jc w:val="left"/>
            </w:pPr>
            <w:r/>
            <w:r>
              <w:rPr>
                <w:rFonts w:ascii="Arial" w:hAnsi="Arial"/>
                <w:sz w:val="18"/>
              </w:rPr>
              <w:t>Open the product page. Read the serving size. Then compare it to the bottle already sitting in the cabinet.</w:t>
            </w:r>
          </w:p>
        </w:tc>
        <w:tc>
          <w:tcPr>
            <w:tcW w:type="dxa" w:w="2493"/>
          </w:tcPr>
          <w:p>
            <w:pPr>
              <w:jc w:val="left"/>
            </w:pPr>
            <w:r/>
            <w:r>
              <w:rPr>
                <w:rFonts w:ascii="Arial" w:hAnsi="Arial"/>
                <w:sz w:val="18"/>
              </w:rPr>
              <w:t>COMPARE THE SERVING</w:t>
            </w:r>
          </w:p>
        </w:tc>
      </w:tr>
    </w:tbl>
    <w:p>
      <w:pPr>
        <w:spacing w:before="400" w:after="80"/>
      </w:pPr>
      <w:r>
        <w:rPr>
          <w:rFonts w:ascii="Arial" w:hAnsi="Arial"/>
          <w:b/>
          <w:color w:val="0074FE"/>
          <w:sz w:val="28"/>
        </w:rPr>
        <w:t>Notes</w:t>
      </w:r>
    </w:p>
    <w:p>
      <w:pPr>
        <w:spacing w:before="80" w:after="80"/>
      </w:pPr>
      <w:r/>
      <w:r>
        <w:rPr>
          <w:rFonts w:ascii="Arial" w:hAnsi="Arial"/>
          <w:sz w:val="20"/>
        </w:rPr>
        <w:t>Note: Structure-function language only. Final edit must match the live PDP and label. Avoid hard fat-loss promises, disease claims, personal-attribute callouts, and universal competitor claims. Source anchors: NIH ODS Carnitine Health Professional Fact Sheet, https://ods.od.nih.gov/factsheets/Carnitine-HealthProfessional/; Linus Pauling Institute L-Carnitine, https://lpi.oregonstate.edu/mic/dietary-factors/L-carnitine.</w:t>
      </w:r>
    </w:p>
    <w:p>
      <w:pPr>
        <w:spacing w:before="560"/>
        <w:jc w:val="center"/>
        <w:pBdr>
          <w:top w:val="single" w:sz="4" w:space="4" w:color="CCCCCC"/>
        </w:pBdr>
      </w:pPr>
      <w:r>
        <w:rPr>
          <w:color w:val="808080"/>
          <w:sz w:val="18"/>
        </w:rPr>
        <w:t>TrendScale  ·  Brief Template v1.3  ·  trendscale.net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