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24" w:space="4" w:color="0074FE"/>
        </w:pBdr>
      </w:pPr>
      <w:r>
        <w:rPr>
          <w:b/>
          <w:sz w:val="36"/>
        </w:rPr>
        <w:t>TRENDSCALE BRIEF</w:t>
      </w:r>
    </w:p>
    <w:p>
      <w:pPr>
        <w:spacing w:before="160" w:after="240"/>
      </w:pPr>
      <w:r>
        <w:rPr>
          <w:b w:val="0"/>
          <w:sz w:val="18"/>
        </w:rPr>
        <w:t>Client-facing production brief. Cold-traffic v2 pass for founder review and editor handoff.</w:t>
      </w:r>
    </w:p>
    <w:p>
      <w:pPr>
        <w:spacing w:before="400" w:after="80"/>
      </w:pPr>
      <w:r>
        <w:rPr>
          <w:b/>
          <w:sz w:val="24"/>
        </w:rPr>
        <w:t>Strategic header</w:t>
      </w:r>
    </w:p>
    <w:p>
      <w:pPr>
        <w:spacing w:before="80" w:after="80"/>
      </w:pPr>
      <w:r>
        <w:rPr>
          <w:b/>
        </w:rPr>
        <w:t xml:space="preserve">Strategist: </w:t>
      </w:r>
      <w:r>
        <w:t>Farrice Cain</w:t>
      </w:r>
    </w:p>
    <w:p>
      <w:pPr>
        <w:spacing w:before="80" w:after="80"/>
      </w:pPr>
      <w:r>
        <w:rPr>
          <w:b/>
        </w:rPr>
        <w:t xml:space="preserve">Client: </w:t>
      </w:r>
      <w:r>
        <w:t>Puravita - 12-Form Magnesium Complex</w:t>
      </w:r>
    </w:p>
    <w:p>
      <w:pPr>
        <w:spacing w:before="80" w:after="80"/>
      </w:pPr>
      <w:r>
        <w:rPr>
          <w:b/>
        </w:rPr>
        <w:t xml:space="preserve">PDP: </w:t>
      </w:r>
      <w:r>
        <w:t>Final product page URL pending. Use the Puravita 12-Form Magnesium Complex PDP before launch.</w:t>
      </w:r>
    </w:p>
    <w:p>
      <w:pPr>
        <w:spacing w:before="80" w:after="80"/>
      </w:pPr>
      <w:r>
        <w:rPr>
          <w:b/>
        </w:rPr>
        <w:t xml:space="preserve">Media buyer notes: </w:t>
      </w:r>
      <w:r>
        <w:t>Primary test angle: the body has no battery icon. Lead with the phone-battery metaphor, then sharpen the proof with serum magnesium limits and form-dependent absorption. The script should create curiosity without diagnosing deficiency.</w:t>
      </w:r>
    </w:p>
    <w:p>
      <w:pPr>
        <w:spacing w:before="80" w:after="80"/>
      </w:pPr>
      <w:r>
        <w:rPr>
          <w:b/>
        </w:rPr>
        <w:t xml:space="preserve">Concept type: </w:t>
      </w:r>
      <w:r>
        <w:t>Iteration</w:t>
      </w:r>
    </w:p>
    <w:p>
      <w:pPr>
        <w:spacing w:before="80" w:after="80"/>
      </w:pPr>
      <w:r>
        <w:rPr>
          <w:b/>
        </w:rPr>
        <w:t xml:space="preserve">Iterated from: </w:t>
      </w:r>
      <w:r>
        <w:t>The Battery You Can’t See control concept.</w:t>
      </w:r>
    </w:p>
    <w:p>
      <w:pPr>
        <w:spacing w:before="80" w:after="80"/>
      </w:pPr>
      <w:r>
        <w:rPr>
          <w:b/>
        </w:rPr>
        <w:t xml:space="preserve">Avatar: </w:t>
      </w:r>
      <w:r>
        <w:t>Men 38 to 62, with a 45 to 55 sweet spot. He has normal routines, normal labs, and a private sense that something is off. He is not searching for a magnesium brand yet, which is why the ad must sell the missing signal before it sells the bottle.</w:t>
      </w:r>
    </w:p>
    <w:p>
      <w:pPr>
        <w:spacing w:before="80" w:after="80"/>
      </w:pPr>
      <w:r>
        <w:rPr>
          <w:b/>
        </w:rPr>
        <w:t xml:space="preserve">Awareness level: </w:t>
      </w:r>
      <w:r>
        <w:t>Unaware to Problem aware</w:t>
      </w:r>
    </w:p>
    <w:p>
      <w:pPr>
        <w:spacing w:before="80" w:after="80"/>
      </w:pPr>
      <w:r>
        <w:t>Hypothesis: The first five seconds should feel more like a pattern interrupt than a supplement ad. The strongest entry is a normal lab report or a phone at 5 percent because both create the same question: what if the signal I trust is incomplete? Once that question is open, the magnesium proof and 12-form story have a reason to matter.</w:t>
      </w:r>
    </w:p>
    <w:p>
      <w:pPr>
        <w:spacing w:before="400" w:after="80"/>
      </w:pPr>
      <w:r>
        <w:rPr>
          <w:b/>
          <w:sz w:val="24"/>
        </w:rPr>
        <w:t>Inspiration and editing</w:t>
      </w:r>
    </w:p>
    <w:p>
      <w:pPr>
        <w:spacing w:before="80" w:after="80"/>
      </w:pPr>
      <w:r>
        <w:rPr>
          <w:b/>
        </w:rPr>
        <w:t xml:space="preserve">Concept inspo: </w:t>
      </w:r>
      <w:r>
        <w:t>Phone at 5 percent, normal lab panel, kitchen morning, soft body-map glow, formula cards, and a quiet product reveal. Think magazine science with a human problem underneath.</w:t>
      </w:r>
    </w:p>
    <w:p>
      <w:pPr>
        <w:spacing w:before="80" w:after="80"/>
      </w:pPr>
      <w:r>
        <w:rPr>
          <w:b/>
        </w:rPr>
        <w:t xml:space="preserve">Cast type: </w:t>
      </w:r>
      <w:r>
        <w:t>HeyGen narrator + AI b-roll. Use a polished presenter and cinematic metaphor visuals, not handheld UGC.</w:t>
      </w:r>
    </w:p>
    <w:p>
      <w:pPr>
        <w:spacing w:before="80" w:after="80"/>
      </w:pPr>
      <w:r>
        <w:rPr>
          <w:b/>
        </w:rPr>
        <w:t xml:space="preserve">AI avatar look: </w:t>
      </w:r>
      <w:r>
        <w:t>Male, 45 to 50, understated, slight gray at temples, simple sweater or overshirt, warm kitchen light. Calm and credible without influencer polish.</w:t>
      </w:r>
    </w:p>
    <w:p>
      <w:pPr>
        <w:spacing w:before="80" w:after="80"/>
      </w:pPr>
      <w:r>
        <w:rPr>
          <w:b/>
        </w:rPr>
        <w:t xml:space="preserve">Pacing: </w:t>
      </w:r>
      <w:r>
        <w:t>Slow first beat, quick proof reveal, quiet product hold. Let the lab-report line breathe.</w:t>
      </w:r>
    </w:p>
    <w:p>
      <w:pPr>
        <w:spacing w:before="80" w:after="80"/>
      </w:pPr>
      <w:r>
        <w:rPr>
          <w:b/>
        </w:rPr>
        <w:t xml:space="preserve">Main emotion: </w:t>
      </w:r>
      <w:r>
        <w:t>Private recognition. He should feel that the ad is naming something he has not been able to explain cleanly.</w:t>
      </w:r>
    </w:p>
    <w:p>
      <w:pPr>
        <w:spacing w:before="80" w:after="80"/>
      </w:pPr>
      <w:r>
        <w:t>Voiceover: Quiet, grounded, and observant. The narrator should sound like someone noticing a pattern while staying far away from cure language.</w:t>
      </w:r>
    </w:p>
    <w:p>
      <w:pPr>
        <w:spacing w:before="80" w:after="80"/>
      </w:pPr>
      <w:r>
        <w:rPr>
          <w:b/>
        </w:rPr>
        <w:t xml:space="preserve">Music: </w:t>
      </w:r>
      <w:r>
        <w:t>Sparse piano or low ambient bed at minus 18dB. Silence under the final decision line.</w:t>
      </w:r>
    </w:p>
    <w:p>
      <w:pPr>
        <w:spacing w:before="80" w:after="80"/>
      </w:pPr>
      <w:r>
        <w:rPr>
          <w:b/>
        </w:rPr>
        <w:t xml:space="preserve">Caption style: </w:t>
      </w:r>
      <w:r>
        <w:t>Manual burned-in captions. Six words per frame maximum. Use sage for serum/form callouts and warm amber only for proof-card emphasis.</w:t>
      </w:r>
    </w:p>
    <w:p>
      <w:pPr>
        <w:spacing w:before="80" w:after="80"/>
      </w:pPr>
      <w:r>
        <w:rPr>
          <w:b/>
        </w:rPr>
        <w:t xml:space="preserve">Overall direction: </w:t>
      </w:r>
      <w:r>
        <w:t>Make the first half an invisible-signal story and the second half a form-difference story. The viewer should click because the label suddenly feels worth reading.</w:t>
      </w:r>
    </w:p>
    <w:p>
      <w:pPr>
        <w:spacing w:before="80" w:after="80"/>
      </w:pPr>
      <w:r>
        <w:rPr>
          <w:b/>
        </w:rPr>
        <w:t xml:space="preserve">Editing notes: </w:t>
      </w:r>
      <w:r>
        <w:t>Use hand-only b-roll for the phone and clean document-style lab visuals. Avoid stock exhausted-person footage, doctor coats, disease language, literal anatomical diagrams, and urgency text.</w:t>
      </w:r>
    </w:p>
    <w:p>
      <w:pPr>
        <w:spacing w:before="400" w:after="80"/>
      </w:pPr>
      <w:r>
        <w:rPr>
          <w:b/>
          <w:sz w:val="24"/>
        </w:rPr>
        <w:t>Script</w:t>
      </w:r>
    </w:p>
    <w:p>
      <w:pPr>
        <w:spacing w:before="80" w:after="80"/>
      </w:pPr>
      <w:r>
        <w:rPr>
          <w:b/>
        </w:rPr>
        <w:t xml:space="preserve">Format: </w:t>
      </w:r>
      <w:r>
        <w:t>Video, 9:16, 45 seconds. Optional 4:5 static thumbstop using the lab-report or phone-battery hook.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52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Visual / editing notes</w:t>
            </w:r>
          </w:p>
        </w:tc>
        <w:tc>
          <w:tcPr>
            <w:tcW w:type="dxa" w:w="1512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Section</w:t>
            </w:r>
          </w:p>
        </w:tc>
        <w:tc>
          <w:tcPr>
            <w:tcW w:type="dxa" w:w="4536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Script</w:t>
            </w:r>
          </w:p>
        </w:tc>
        <w:tc>
          <w:tcPr>
            <w:tcW w:type="dxa" w:w="2304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On-screen text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Close-up of a phone at 5 percent. Morning light. A hand reaches in. Keep the person faceless.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Hook 1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A phone warns you at five percent. The body usually makes you guess.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THE BODY HAS NO BATTERY ICON.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A clean lab report slides into frame. The word “normal” is visible, then the paper folds shut.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Hook 2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The lab report said normal. The morning did not feel normal.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THE LAB SAID NORMAL.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Kitchen narrator. Coffee untouched. Cut to a soft body-map glow, not tired-person footage.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Hook 3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Most magnesium ads start with sleep. This one starts with the signal your body rarely gives you.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START WITH THE SIGNAL.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Body-map glow. Tiny serum label in blood, larger glow in bone and soft tissue.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Body - mechanism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Magnesium supports more than 300 enzyme systems, including normal muscle and nerve function and energy metabolism.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300+ ENZYME SYSTEMS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Clean source card: NIH Office of Dietary Supplements. Keep it on screen long enough to read.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Body - proof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Less than one percent of total body magnesium is in blood serum. Most is in bone and soft tissue, which makes serum a small window into a bigger system.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&lt;1% IN SERUM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Formula cards rotate through different magnesium forms. Show variety without assigning each form a medical claim.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Body - form contrast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Form matters because magnesium supplements do not all absorb the same way. Puravita’s 12-form story gives the ad a reason to move beyond generic sleep copy.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FORM MATTERS.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Product bottle in warm kitchen light. Twelve subtle form markers orbit the label.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Body - product reveal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Puravita brings 12 magnesium forms into one formula. The job of the ad is to make the viewer want to read the label.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12-FORM MAGNESIUM COMPLEX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Final product hold. Music cuts. Learn More button appears.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Body - CTA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Read the form list. Check labels. Then decide whether the signal was too small to trust.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READ THE FORMULA / LEARN MORE</w:t>
            </w:r>
          </w:p>
        </w:tc>
      </w:tr>
    </w:tbl>
    <w:p>
      <w:pPr>
        <w:spacing w:before="400" w:after="80"/>
      </w:pPr>
      <w:r>
        <w:rPr>
          <w:b/>
          <w:sz w:val="24"/>
        </w:rPr>
        <w:t>Notes</w:t>
      </w:r>
    </w:p>
    <w:p>
      <w:pPr>
        <w:spacing w:before="80" w:after="80"/>
      </w:pPr>
      <w:r>
        <w:rPr>
          <w:b/>
        </w:rPr>
        <w:t xml:space="preserve">Note: </w:t>
      </w:r>
      <w:r>
        <w:t>Production guardrail: use “supports” language and label/PDP-approved claims only. NIH-backed proof supports more than 300 enzyme systems, less than 1% of total magnesium in serum, and form-dependent absorption. Avoid inflated enzyme-count claims, deficiency diagnosis, and unapproved named-influencer usage.</w:t>
      </w:r>
    </w:p>
    <w:p>
      <w:pPr>
        <w:spacing w:before="560"/>
        <w:jc w:val="center"/>
        <w:pBdr>
          <w:top w:val="single" w:sz="4" w:space="4" w:color="CCCCCC"/>
        </w:pBdr>
      </w:pPr>
      <w:r>
        <w:rPr>
          <w:color w:val="808080"/>
          <w:sz w:val="16"/>
        </w:rPr>
        <w:t>TrendScale  ·  Brief Template v1.3  ·  trendscale.net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