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rFonts w:ascii="Arial" w:hAnsi="Arial"/>
          <w:b/>
          <w:color w:val="0074FE"/>
          <w:sz w:val="52"/>
        </w:rPr>
        <w:t>TRENDSCALE BRIEF</w:t>
      </w:r>
    </w:p>
    <w:p>
      <w:pPr>
        <w:spacing w:before="160" w:after="240"/>
      </w:pPr>
      <w:r/>
      <w:r>
        <w:rPr>
          <w:rFonts w:ascii="Arial" w:hAnsi="Arial"/>
          <w:sz w:val="20"/>
        </w:rPr>
        <w:t>Client-facing production brief for paid social review and editor handoff.</w:t>
      </w:r>
    </w:p>
    <w:p>
      <w:pPr>
        <w:spacing w:before="400" w:after="80"/>
      </w:pPr>
      <w:r>
        <w:rPr>
          <w:rFonts w:ascii="Arial" w:hAnsi="Arial"/>
          <w:b/>
          <w:color w:val="0074FE"/>
          <w:sz w:val="28"/>
        </w:rPr>
        <w:t>Strategic header</w:t>
      </w:r>
    </w:p>
    <w:p>
      <w:pPr>
        <w:spacing w:before="80" w:after="80"/>
      </w:pPr>
      <w:r/>
      <w:r>
        <w:rPr>
          <w:rFonts w:ascii="Arial" w:hAnsi="Arial"/>
          <w:sz w:val="20"/>
        </w:rPr>
        <w:t>Strategist: Farrice Cain</w:t>
      </w:r>
    </w:p>
    <w:p>
      <w:pPr>
        <w:spacing w:before="80" w:after="80"/>
      </w:pPr>
      <w:r/>
      <w:r>
        <w:rPr>
          <w:rFonts w:ascii="Arial" w:hAnsi="Arial"/>
          <w:sz w:val="20"/>
        </w:rPr>
        <w:t>Client: Puravita - Magnesium Complex Capsules</w:t>
      </w:r>
    </w:p>
    <w:p>
      <w:pPr>
        <w:spacing w:before="80" w:after="80"/>
      </w:pPr>
      <w:r/>
      <w:r>
        <w:rPr>
          <w:rFonts w:ascii="Arial" w:hAnsi="Arial"/>
          <w:sz w:val="20"/>
        </w:rPr>
        <w:t>PDP: https://shoppuravita.com/products/puravita%C2%AE-magnesium-complex</w:t>
      </w:r>
    </w:p>
    <w:p>
      <w:pPr>
        <w:spacing w:before="80" w:after="80"/>
      </w:pPr>
      <w:r/>
      <w:r>
        <w:rPr>
          <w:rFonts w:ascii="Arial" w:hAnsi="Arial"/>
          <w:sz w:val="20"/>
        </w:rPr>
        <w:t>Production note: Recommended control is Hook 1. The script column is exact spoken voiceover. This pass is optimized for top-of-funnel curiosity and qualified click intent. The PDP verifies the active Puravita Magnesium Complex Capsules listing and quantity offers. Keep the 12-form language from the original product brief and final label, without making form-specific health promises.</w:t>
      </w:r>
    </w:p>
    <w:p>
      <w:pPr>
        <w:spacing w:before="80" w:after="80"/>
      </w:pPr>
      <w:r/>
      <w:r>
        <w:rPr>
          <w:rFonts w:ascii="Arial" w:hAnsi="Arial"/>
          <w:sz w:val="20"/>
        </w:rPr>
        <w:t>Concept type: Iteration</w:t>
      </w:r>
    </w:p>
    <w:p>
      <w:pPr>
        <w:spacing w:before="80" w:after="80"/>
      </w:pPr>
      <w:r/>
      <w:r>
        <w:rPr>
          <w:rFonts w:ascii="Arial" w:hAnsi="Arial"/>
          <w:sz w:val="20"/>
        </w:rPr>
        <w:t>Iterated from: The Battery You Can't See control concept.</w:t>
      </w:r>
    </w:p>
    <w:p>
      <w:pPr>
        <w:spacing w:before="80" w:after="80"/>
      </w:pPr>
      <w:r/>
      <w:r>
        <w:rPr>
          <w:rFonts w:ascii="Arial" w:hAnsi="Arial"/>
          <w:sz w:val="20"/>
        </w:rPr>
        <w:t>Avatar: Men 38 to 62, with a 45 to 55 sweet spot. He has routines, labs, and enough life pressure to distrust another generic magnesium sleep ad. He needs a clean reason to inspect the label.</w:t>
      </w:r>
    </w:p>
    <w:p>
      <w:pPr>
        <w:spacing w:before="80" w:after="80"/>
      </w:pPr>
      <w:r/>
      <w:r>
        <w:rPr>
          <w:rFonts w:ascii="Arial" w:hAnsi="Arial"/>
          <w:sz w:val="20"/>
        </w:rPr>
        <w:t>Awareness level: Unaware to Problem aware</w:t>
      </w:r>
    </w:p>
    <w:p>
      <w:pPr>
        <w:spacing w:before="80" w:after="80"/>
      </w:pPr>
      <w:r/>
      <w:r>
        <w:rPr>
          <w:rFonts w:ascii="Arial" w:hAnsi="Arial"/>
          <w:sz w:val="20"/>
        </w:rPr>
        <w:t>Hypothesis: The battery concept works best when the hook starts from the private search, not the supplement category. Name the 11pm question first, then use serum as the curiosity bridge into the 12-form label.</w:t>
      </w:r>
    </w:p>
    <w:p>
      <w:pPr>
        <w:spacing w:before="400" w:after="80"/>
      </w:pPr>
      <w:r>
        <w:rPr>
          <w:rFonts w:ascii="Arial" w:hAnsi="Arial"/>
          <w:b/>
          <w:color w:val="0074FE"/>
          <w:sz w:val="28"/>
        </w:rPr>
        <w:t>Inspiration and editing</w:t>
      </w:r>
    </w:p>
    <w:p>
      <w:pPr>
        <w:spacing w:before="80" w:after="80"/>
      </w:pPr>
      <w:r/>
      <w:r>
        <w:rPr>
          <w:rFonts w:ascii="Arial" w:hAnsi="Arial"/>
          <w:sz w:val="20"/>
        </w:rPr>
        <w:t>Concept inspo: Phone at 5 percent, normal lab panel, untouched coffee, soft body-map glow, serum window card, form list, quiet product reveal.</w:t>
      </w:r>
    </w:p>
    <w:p>
      <w:pPr>
        <w:spacing w:before="80" w:after="80"/>
      </w:pPr>
      <w:r/>
      <w:r>
        <w:rPr>
          <w:rFonts w:ascii="Arial" w:hAnsi="Arial"/>
          <w:sz w:val="20"/>
        </w:rPr>
        <w:t>Cast type: HeyGen presenter with cinematic AI b-roll and real product photography.</w:t>
      </w:r>
    </w:p>
    <w:p>
      <w:pPr>
        <w:spacing w:before="80" w:after="80"/>
      </w:pPr>
      <w:r/>
      <w:r>
        <w:rPr>
          <w:rFonts w:ascii="Arial" w:hAnsi="Arial"/>
          <w:sz w:val="20"/>
        </w:rPr>
        <w:t>AI avatar look: Male, 45 to 50, understated, slight gray at temples, simple sweater or overshirt, warm kitchen light. Calm and observant.</w:t>
      </w:r>
    </w:p>
    <w:p>
      <w:pPr>
        <w:spacing w:before="80" w:after="80"/>
      </w:pPr>
      <w:r/>
      <w:r>
        <w:rPr>
          <w:rFonts w:ascii="Arial" w:hAnsi="Arial"/>
          <w:sz w:val="20"/>
        </w:rPr>
        <w:t>Pacing: Private search hook, signal turn, proof card, form-board reveal, bottle hold.</w:t>
      </w:r>
    </w:p>
    <w:p>
      <w:pPr>
        <w:spacing w:before="80" w:after="80"/>
      </w:pPr>
      <w:r/>
      <w:r>
        <w:rPr>
          <w:rFonts w:ascii="Arial" w:hAnsi="Arial"/>
          <w:sz w:val="20"/>
        </w:rPr>
        <w:t>Main emotion: Recognition without diagnosis. The viewer should feel the ad named a gap without naming him.</w:t>
      </w:r>
    </w:p>
    <w:p>
      <w:pPr>
        <w:spacing w:before="80" w:after="80"/>
      </w:pPr>
      <w:r/>
      <w:r>
        <w:rPr>
          <w:rFonts w:ascii="Arial" w:hAnsi="Arial"/>
          <w:sz w:val="20"/>
        </w:rPr>
        <w:t>Voiceover: Quiet, restrained, and observational. Read the script column as written. No extra explainer copy.</w:t>
      </w:r>
    </w:p>
    <w:p>
      <w:pPr>
        <w:spacing w:before="80" w:after="80"/>
      </w:pPr>
      <w:r/>
      <w:r>
        <w:rPr>
          <w:rFonts w:ascii="Arial" w:hAnsi="Arial"/>
          <w:sz w:val="20"/>
        </w:rPr>
        <w:t>Music: Sparse piano or low ambient bed at minus 18dB. Silence under the final label line.</w:t>
      </w:r>
    </w:p>
    <w:p>
      <w:pPr>
        <w:spacing w:before="80" w:after="80"/>
      </w:pPr>
      <w:r/>
      <w:r>
        <w:rPr>
          <w:rFonts w:ascii="Arial" w:hAnsi="Arial"/>
          <w:sz w:val="20"/>
        </w:rPr>
        <w:t>Caption style: Manual burned-in captions. Six words per frame maximum. Sage for serum and form callouts.</w:t>
      </w:r>
    </w:p>
    <w:p>
      <w:pPr>
        <w:spacing w:before="80" w:after="80"/>
      </w:pPr>
      <w:r/>
      <w:r>
        <w:rPr>
          <w:rFonts w:ascii="Arial" w:hAnsi="Arial"/>
          <w:sz w:val="20"/>
        </w:rPr>
        <w:t>Overall direction: Use one hook, then continue through the body rows in order. The ad should move from private question to label inspection, without diagnosing the viewer.</w:t>
      </w:r>
    </w:p>
    <w:p>
      <w:pPr>
        <w:spacing w:before="80" w:after="80"/>
      </w:pPr>
      <w:r/>
      <w:r>
        <w:rPr>
          <w:rFonts w:ascii="Arial" w:hAnsi="Arial"/>
          <w:sz w:val="20"/>
        </w:rPr>
        <w:t>Editing notes: Use hand-only phone b-roll and clean document-style lab visuals. Use a soft body-map glow, not literal anatomy. Avoid exhausted-person stock, doctor coats, disease language, diagnosis, urgency text, and influencer quote cards unless cleared by the client.</w:t>
      </w:r>
    </w:p>
    <w:p>
      <w:pPr>
        <w:spacing w:before="400" w:after="80"/>
      </w:pPr>
      <w:r>
        <w:rPr>
          <w:rFonts w:ascii="Arial" w:hAnsi="Arial"/>
          <w:b/>
          <w:color w:val="0074FE"/>
          <w:sz w:val="28"/>
        </w:rPr>
        <w:t>Script</w:t>
      </w:r>
    </w:p>
    <w:p>
      <w:pPr>
        <w:spacing w:before="80" w:after="80"/>
      </w:pPr>
      <w:r/>
      <w:r>
        <w:rPr>
          <w:rFonts w:ascii="Arial" w:hAnsi="Arial"/>
          <w:sz w:val="20"/>
        </w:rPr>
        <w:t>Format: Video, 9:16, 35 to 45 seconds. Optional 4:5 static thumbstop using the phone or lab-report hook.</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fill="0074FE"/>
            <w:tcBorders>
              <w:top w:val="single" w:sz="4" w:color="CCCCCC"/>
              <w:left w:val="single" w:sz="4" w:color="CCCCCC"/>
              <w:bottom w:val="single" w:sz="4" w:color="CCCCCC"/>
              <w:right w:val="single" w:sz="4" w:color="CCCCCC"/>
            </w:tcBorders>
          </w:tcPr>
          <w:p>
            <w:r>
              <w:rPr>
                <w:b/>
                <w:color w:val="FFFFFF"/>
                <w:sz w:val="22"/>
              </w:rPr>
              <w:t>Visual / editing notes</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Section</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Script</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On-screen text</w:t>
            </w:r>
          </w:p>
        </w:tc>
      </w:tr>
      <w:tr>
        <w:tc>
          <w:tcPr>
            <w:tcW w:type="dxa" w:w="2493"/>
          </w:tcPr>
          <w:p>
            <w:pPr>
              <w:jc w:val="left"/>
            </w:pPr>
            <w:r/>
            <w:r>
              <w:rPr>
                <w:rFonts w:ascii="Arial" w:hAnsi="Arial"/>
                <w:sz w:val="18"/>
              </w:rPr>
              <w:t>Phone at 5 percent on a nightstand. Dawn light. Hand only, no face.</w:t>
            </w:r>
          </w:p>
        </w:tc>
        <w:tc>
          <w:tcPr>
            <w:tcW w:type="dxa" w:w="2493"/>
          </w:tcPr>
          <w:p>
            <w:pPr>
              <w:jc w:val="left"/>
            </w:pPr>
            <w:r/>
            <w:r>
              <w:rPr>
                <w:rFonts w:ascii="Arial" w:hAnsi="Arial"/>
                <w:sz w:val="18"/>
              </w:rPr>
              <w:t>Hook 1</w:t>
            </w:r>
          </w:p>
        </w:tc>
        <w:tc>
          <w:tcPr>
            <w:tcW w:type="dxa" w:w="2493"/>
          </w:tcPr>
          <w:p>
            <w:pPr>
              <w:jc w:val="left"/>
            </w:pPr>
            <w:r/>
            <w:r>
              <w:rPr>
                <w:rFonts w:ascii="Arial" w:hAnsi="Arial"/>
                <w:sz w:val="18"/>
              </w:rPr>
              <w:t>At 11:07, he is not buying magnesium. He is trying to figure out why normal still feels unfinished.</w:t>
            </w:r>
          </w:p>
        </w:tc>
        <w:tc>
          <w:tcPr>
            <w:tcW w:type="dxa" w:w="2493"/>
          </w:tcPr>
          <w:p>
            <w:pPr>
              <w:jc w:val="left"/>
            </w:pPr>
            <w:r/>
            <w:r>
              <w:rPr>
                <w:rFonts w:ascii="Arial" w:hAnsi="Arial"/>
                <w:sz w:val="18"/>
              </w:rPr>
              <w:t>TRYING TO NAME IT</w:t>
            </w:r>
          </w:p>
        </w:tc>
      </w:tr>
      <w:tr>
        <w:tc>
          <w:tcPr>
            <w:tcW w:type="dxa" w:w="2493"/>
          </w:tcPr>
          <w:p>
            <w:pPr>
              <w:jc w:val="left"/>
            </w:pPr>
            <w:r/>
            <w:r>
              <w:rPr>
                <w:rFonts w:ascii="Arial" w:hAnsi="Arial"/>
                <w:sz w:val="18"/>
              </w:rPr>
              <w:t>Clean lab report slides into frame. The word normal is visible. Coffee sits untouched.</w:t>
            </w:r>
          </w:p>
        </w:tc>
        <w:tc>
          <w:tcPr>
            <w:tcW w:type="dxa" w:w="2493"/>
          </w:tcPr>
          <w:p>
            <w:pPr>
              <w:jc w:val="left"/>
            </w:pPr>
            <w:r/>
            <w:r>
              <w:rPr>
                <w:rFonts w:ascii="Arial" w:hAnsi="Arial"/>
                <w:sz w:val="18"/>
              </w:rPr>
              <w:t>Hook 2</w:t>
            </w:r>
          </w:p>
        </w:tc>
        <w:tc>
          <w:tcPr>
            <w:tcW w:type="dxa" w:w="2493"/>
          </w:tcPr>
          <w:p>
            <w:pPr>
              <w:jc w:val="left"/>
            </w:pPr>
            <w:r/>
            <w:r>
              <w:rPr>
                <w:rFonts w:ascii="Arial" w:hAnsi="Arial"/>
                <w:sz w:val="18"/>
              </w:rPr>
              <w:t>The word normal can end the search before the mineral question even starts.</w:t>
            </w:r>
          </w:p>
        </w:tc>
        <w:tc>
          <w:tcPr>
            <w:tcW w:type="dxa" w:w="2493"/>
          </w:tcPr>
          <w:p>
            <w:pPr>
              <w:jc w:val="left"/>
            </w:pPr>
            <w:r/>
            <w:r>
              <w:rPr>
                <w:rFonts w:ascii="Arial" w:hAnsi="Arial"/>
                <w:sz w:val="18"/>
              </w:rPr>
              <w:t>NORMAL CAN END THE SEARCH</w:t>
            </w:r>
          </w:p>
        </w:tc>
      </w:tr>
      <w:tr>
        <w:tc>
          <w:tcPr>
            <w:tcW w:type="dxa" w:w="2493"/>
          </w:tcPr>
          <w:p>
            <w:pPr>
              <w:jc w:val="left"/>
            </w:pPr>
            <w:r/>
            <w:r>
              <w:rPr>
                <w:rFonts w:ascii="Arial" w:hAnsi="Arial"/>
                <w:sz w:val="18"/>
              </w:rPr>
              <w:t>Common sleep-ad visuals flicker off. A soft body-map glow replaces them.</w:t>
            </w:r>
          </w:p>
        </w:tc>
        <w:tc>
          <w:tcPr>
            <w:tcW w:type="dxa" w:w="2493"/>
          </w:tcPr>
          <w:p>
            <w:pPr>
              <w:jc w:val="left"/>
            </w:pPr>
            <w:r/>
            <w:r>
              <w:rPr>
                <w:rFonts w:ascii="Arial" w:hAnsi="Arial"/>
                <w:sz w:val="18"/>
              </w:rPr>
              <w:t>Hook 3</w:t>
            </w:r>
          </w:p>
        </w:tc>
        <w:tc>
          <w:tcPr>
            <w:tcW w:type="dxa" w:w="2493"/>
          </w:tcPr>
          <w:p>
            <w:pPr>
              <w:jc w:val="left"/>
            </w:pPr>
            <w:r/>
            <w:r>
              <w:rPr>
                <w:rFonts w:ascii="Arial" w:hAnsi="Arial"/>
                <w:sz w:val="18"/>
              </w:rPr>
              <w:t>Phones show 5 percent. Bodies leave clues.</w:t>
            </w:r>
          </w:p>
        </w:tc>
        <w:tc>
          <w:tcPr>
            <w:tcW w:type="dxa" w:w="2493"/>
          </w:tcPr>
          <w:p>
            <w:pPr>
              <w:jc w:val="left"/>
            </w:pPr>
            <w:r/>
            <w:r>
              <w:rPr>
                <w:rFonts w:ascii="Arial" w:hAnsi="Arial"/>
                <w:sz w:val="18"/>
              </w:rPr>
              <w:t>NO BATTERY ICON</w:t>
            </w:r>
          </w:p>
        </w:tc>
      </w:tr>
      <w:tr>
        <w:tc>
          <w:tcPr>
            <w:tcW w:type="dxa" w:w="2493"/>
          </w:tcPr>
          <w:p>
            <w:pPr>
              <w:jc w:val="left"/>
            </w:pPr>
            <w:r/>
            <w:r>
              <w:rPr>
                <w:rFonts w:ascii="Arial" w:hAnsi="Arial"/>
                <w:sz w:val="18"/>
              </w:rPr>
              <w:t>Body map lights up energy, nerve, and muscle icons. Keep it editorial, not medical.</w:t>
            </w:r>
          </w:p>
        </w:tc>
        <w:tc>
          <w:tcPr>
            <w:tcW w:type="dxa" w:w="2493"/>
          </w:tcPr>
          <w:p>
            <w:pPr>
              <w:jc w:val="left"/>
            </w:pPr>
            <w:r/>
            <w:r>
              <w:rPr>
                <w:rFonts w:ascii="Arial" w:hAnsi="Arial"/>
                <w:sz w:val="18"/>
              </w:rPr>
              <w:t>Mechanism</w:t>
            </w:r>
          </w:p>
        </w:tc>
        <w:tc>
          <w:tcPr>
            <w:tcW w:type="dxa" w:w="2493"/>
          </w:tcPr>
          <w:p>
            <w:pPr>
              <w:jc w:val="left"/>
            </w:pPr>
            <w:r/>
            <w:r>
              <w:rPr>
                <w:rFonts w:ascii="Arial" w:hAnsi="Arial"/>
                <w:sz w:val="18"/>
              </w:rPr>
              <w:t>Magnesium is one clue worth inspecting. It supports more than 300 enzyme systems, including energy, nerve, and muscle function.</w:t>
            </w:r>
          </w:p>
        </w:tc>
        <w:tc>
          <w:tcPr>
            <w:tcW w:type="dxa" w:w="2493"/>
          </w:tcPr>
          <w:p>
            <w:pPr>
              <w:jc w:val="left"/>
            </w:pPr>
            <w:r/>
            <w:r>
              <w:rPr>
                <w:rFonts w:ascii="Arial" w:hAnsi="Arial"/>
                <w:sz w:val="18"/>
              </w:rPr>
              <w:t>300+ ENZYME SYSTEMS</w:t>
            </w:r>
          </w:p>
        </w:tc>
      </w:tr>
      <w:tr>
        <w:tc>
          <w:tcPr>
            <w:tcW w:type="dxa" w:w="2493"/>
          </w:tcPr>
          <w:p>
            <w:pPr>
              <w:jc w:val="left"/>
            </w:pPr>
            <w:r/>
            <w:r>
              <w:rPr>
                <w:rFonts w:ascii="Arial" w:hAnsi="Arial"/>
                <w:sz w:val="18"/>
              </w:rPr>
              <w:t>Bloodstream label shows less than 1%. Camera pulls back to bone, muscle, and soft tissue.</w:t>
            </w:r>
          </w:p>
        </w:tc>
        <w:tc>
          <w:tcPr>
            <w:tcW w:type="dxa" w:w="2493"/>
          </w:tcPr>
          <w:p>
            <w:pPr>
              <w:jc w:val="left"/>
            </w:pPr>
            <w:r/>
            <w:r>
              <w:rPr>
                <w:rFonts w:ascii="Arial" w:hAnsi="Arial"/>
                <w:sz w:val="18"/>
              </w:rPr>
              <w:t>Proof</w:t>
            </w:r>
          </w:p>
        </w:tc>
        <w:tc>
          <w:tcPr>
            <w:tcW w:type="dxa" w:w="2493"/>
          </w:tcPr>
          <w:p>
            <w:pPr>
              <w:jc w:val="left"/>
            </w:pPr>
            <w:r/>
            <w:r>
              <w:rPr>
                <w:rFonts w:ascii="Arial" w:hAnsi="Arial"/>
                <w:sz w:val="18"/>
              </w:rPr>
              <w:t>Less than 1% of total body magnesium is in serum. That is a tiny window.</w:t>
            </w:r>
          </w:p>
        </w:tc>
        <w:tc>
          <w:tcPr>
            <w:tcW w:type="dxa" w:w="2493"/>
          </w:tcPr>
          <w:p>
            <w:pPr>
              <w:jc w:val="left"/>
            </w:pPr>
            <w:r/>
            <w:r>
              <w:rPr>
                <w:rFonts w:ascii="Arial" w:hAnsi="Arial"/>
                <w:sz w:val="18"/>
              </w:rPr>
              <w:t>&lt;1% IN SERUM</w:t>
            </w:r>
          </w:p>
        </w:tc>
      </w:tr>
      <w:tr>
        <w:tc>
          <w:tcPr>
            <w:tcW w:type="dxa" w:w="2493"/>
          </w:tcPr>
          <w:p>
            <w:pPr>
              <w:jc w:val="left"/>
            </w:pPr>
            <w:r/>
            <w:r>
              <w:rPr>
                <w:rFonts w:ascii="Arial" w:hAnsi="Arial"/>
                <w:sz w:val="18"/>
              </w:rPr>
              <w:t>Formula board. Twelve form cards appear one by one, clean and readable.</w:t>
            </w:r>
          </w:p>
        </w:tc>
        <w:tc>
          <w:tcPr>
            <w:tcW w:type="dxa" w:w="2493"/>
          </w:tcPr>
          <w:p>
            <w:pPr>
              <w:jc w:val="left"/>
            </w:pPr>
            <w:r/>
            <w:r>
              <w:rPr>
                <w:rFonts w:ascii="Arial" w:hAnsi="Arial"/>
                <w:sz w:val="18"/>
              </w:rPr>
              <w:t>Form turn</w:t>
            </w:r>
          </w:p>
        </w:tc>
        <w:tc>
          <w:tcPr>
            <w:tcW w:type="dxa" w:w="2493"/>
          </w:tcPr>
          <w:p>
            <w:pPr>
              <w:jc w:val="left"/>
            </w:pPr>
            <w:r/>
            <w:r>
              <w:rPr>
                <w:rFonts w:ascii="Arial" w:hAnsi="Arial"/>
                <w:sz w:val="18"/>
              </w:rPr>
              <w:t>Then the label gets strategic. Magnesium forms do not all absorb the same way.</w:t>
            </w:r>
          </w:p>
        </w:tc>
        <w:tc>
          <w:tcPr>
            <w:tcW w:type="dxa" w:w="2493"/>
          </w:tcPr>
          <w:p>
            <w:pPr>
              <w:jc w:val="left"/>
            </w:pPr>
            <w:r/>
            <w:r>
              <w:rPr>
                <w:rFonts w:ascii="Arial" w:hAnsi="Arial"/>
                <w:sz w:val="18"/>
              </w:rPr>
              <w:t>FORM CHANGES THE LABEL</w:t>
            </w:r>
          </w:p>
        </w:tc>
      </w:tr>
      <w:tr>
        <w:tc>
          <w:tcPr>
            <w:tcW w:type="dxa" w:w="2493"/>
          </w:tcPr>
          <w:p>
            <w:pPr>
              <w:jc w:val="left"/>
            </w:pPr>
            <w:r/>
            <w:r>
              <w:rPr>
                <w:rFonts w:ascii="Arial" w:hAnsi="Arial"/>
                <w:sz w:val="18"/>
              </w:rPr>
              <w:t>Real Puravita bottle. Twelve form cards settle around the label.</w:t>
            </w:r>
          </w:p>
        </w:tc>
        <w:tc>
          <w:tcPr>
            <w:tcW w:type="dxa" w:w="2493"/>
          </w:tcPr>
          <w:p>
            <w:pPr>
              <w:jc w:val="left"/>
            </w:pPr>
            <w:r/>
            <w:r>
              <w:rPr>
                <w:rFonts w:ascii="Arial" w:hAnsi="Arial"/>
                <w:sz w:val="18"/>
              </w:rPr>
              <w:t>Product reveal</w:t>
            </w:r>
          </w:p>
        </w:tc>
        <w:tc>
          <w:tcPr>
            <w:tcW w:type="dxa" w:w="2493"/>
          </w:tcPr>
          <w:p>
            <w:pPr>
              <w:jc w:val="left"/>
            </w:pPr>
            <w:r/>
            <w:r>
              <w:rPr>
                <w:rFonts w:ascii="Arial" w:hAnsi="Arial"/>
                <w:sz w:val="18"/>
              </w:rPr>
              <w:t>Puravita puts 12 magnesium forms in one formula. That turns the form list into the story.</w:t>
            </w:r>
          </w:p>
        </w:tc>
        <w:tc>
          <w:tcPr>
            <w:tcW w:type="dxa" w:w="2493"/>
          </w:tcPr>
          <w:p>
            <w:pPr>
              <w:jc w:val="left"/>
            </w:pPr>
            <w:r/>
            <w:r>
              <w:rPr>
                <w:rFonts w:ascii="Arial" w:hAnsi="Arial"/>
                <w:sz w:val="18"/>
              </w:rPr>
              <w:t>12 MAGNESIUM FORMS</w:t>
            </w:r>
          </w:p>
        </w:tc>
      </w:tr>
      <w:tr>
        <w:tc>
          <w:tcPr>
            <w:tcW w:type="dxa" w:w="2493"/>
          </w:tcPr>
          <w:p>
            <w:pPr>
              <w:jc w:val="left"/>
            </w:pPr>
            <w:r/>
            <w:r>
              <w:rPr>
                <w:rFonts w:ascii="Arial" w:hAnsi="Arial"/>
                <w:sz w:val="18"/>
              </w:rPr>
              <w:t>Bottle and supplement-facts panel. CTA appears after the final sentence.</w:t>
            </w:r>
          </w:p>
        </w:tc>
        <w:tc>
          <w:tcPr>
            <w:tcW w:type="dxa" w:w="2493"/>
          </w:tcPr>
          <w:p>
            <w:pPr>
              <w:jc w:val="left"/>
            </w:pPr>
            <w:r/>
            <w:r>
              <w:rPr>
                <w:rFonts w:ascii="Arial" w:hAnsi="Arial"/>
                <w:sz w:val="18"/>
              </w:rPr>
              <w:t>CTA</w:t>
            </w:r>
          </w:p>
        </w:tc>
        <w:tc>
          <w:tcPr>
            <w:tcW w:type="dxa" w:w="2493"/>
          </w:tcPr>
          <w:p>
            <w:pPr>
              <w:jc w:val="left"/>
            </w:pPr>
            <w:r/>
            <w:r>
              <w:rPr>
                <w:rFonts w:ascii="Arial" w:hAnsi="Arial"/>
                <w:sz w:val="18"/>
              </w:rPr>
              <w:t>Open the product page. Read the form list. Then compare it to the simpler magnesium bottles around it.</w:t>
            </w:r>
          </w:p>
        </w:tc>
        <w:tc>
          <w:tcPr>
            <w:tcW w:type="dxa" w:w="2493"/>
          </w:tcPr>
          <w:p>
            <w:pPr>
              <w:jc w:val="left"/>
            </w:pPr>
            <w:r/>
            <w:r>
              <w:rPr>
                <w:rFonts w:ascii="Arial" w:hAnsi="Arial"/>
                <w:sz w:val="18"/>
              </w:rPr>
              <w:t>READ THE FORM LIST</w:t>
            </w:r>
          </w:p>
        </w:tc>
      </w:tr>
    </w:tbl>
    <w:p>
      <w:pPr>
        <w:spacing w:before="400" w:after="80"/>
      </w:pPr>
      <w:r>
        <w:rPr>
          <w:rFonts w:ascii="Arial" w:hAnsi="Arial"/>
          <w:b/>
          <w:color w:val="0074FE"/>
          <w:sz w:val="28"/>
        </w:rPr>
        <w:t>Notes</w:t>
      </w:r>
    </w:p>
    <w:p>
      <w:pPr>
        <w:spacing w:before="80" w:after="80"/>
      </w:pPr>
      <w:r/>
      <w:r>
        <w:rPr>
          <w:rFonts w:ascii="Arial" w:hAnsi="Arial"/>
          <w:sz w:val="20"/>
        </w:rPr>
        <w:t>Note: Use label/PDP-approved structure-function claims only. Correct proof base: magnesium supports more than 300 enzyme systems; less than 1% of total body magnesium is in serum; supplement forms can differ in absorption. Avoid depletion certainty, sleep cures, fatigue claims, and unapproved named-influencer usage. Source anchor: NIH ODS Magnesium Health Professional Fact Sheet, https://ods.od.nih.gov/factsheets/Magnesium-HealthProfessional/.</w:t>
      </w:r>
    </w:p>
    <w:p>
      <w:pPr>
        <w:spacing w:before="560"/>
        <w:jc w:val="center"/>
        <w:pBdr>
          <w:top w:val="single" w:sz="4" w:space="4" w:color="CCCCCC"/>
        </w:pBdr>
      </w:pPr>
      <w:r>
        <w:rPr>
          <w:color w:val="808080"/>
          <w:sz w:val="18"/>
        </w:rPr>
        <w:t>TrendScale  ·  Brief Template v1.3  ·  trendscale.net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