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Resonance — Brand Library Entry</w:t>
      </w:r>
    </w:p>
    <w:p>
      <w:r>
        <w:rPr>
          <w:i/>
        </w:rPr>
        <w:t>Entry for `knowledge/design-libraries/brands/resonance/`. Format-matches the existing 59 entries in the brand library (Apple, Stripe, Linear, Aimé Leon Dore, etc.). Used by the design-md tooling, by future Creative Director sessions, and by any agent that needs Resonance context loaded as a Tier 1 reference.</w:t>
      </w:r>
    </w:p>
    <w:p>
      <w:r>
        <w:rPr>
          <w:i/>
        </w:rPr>
        <w:t>Last updated: 2026-05-04. Source: `01-visual/DESIGN.md`. Authority: A1-reconciliation.md + Brand Bible.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Brand Identity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/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pPr/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b/>
              </w:rPr>
              <w:t>Brand name</w:t>
            </w:r>
          </w:p>
        </w:tc>
        <w:tc>
          <w:tcPr>
            <w:tcW w:type="dxa" w:w="4680"/>
          </w:tcPr>
          <w:p>
            <w:pPr/>
            <w:r/>
            <w:r>
              <w:t>Resonance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b/>
              </w:rPr>
              <w:t>Founded</w:t>
            </w:r>
          </w:p>
        </w:tc>
        <w:tc>
          <w:tcPr>
            <w:tcW w:type="dxa" w:w="4680"/>
          </w:tcPr>
          <w:p>
            <w:pPr/>
            <w:r/>
            <w:r>
              <w:t>2026 (first event: June 2026)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b/>
              </w:rPr>
              <w:t>Founder</w:t>
            </w:r>
          </w:p>
        </w:tc>
        <w:tc>
          <w:tcPr>
            <w:tcW w:type="dxa" w:w="4680"/>
          </w:tcPr>
          <w:p>
            <w:pPr/>
            <w:r/>
            <w:r>
              <w:t>Andrea (Chicago-based DJ; full name + bio in founder docs)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b/>
              </w:rPr>
              <w:t>Location</w:t>
            </w:r>
          </w:p>
        </w:tc>
        <w:tc>
          <w:tcPr>
            <w:tcW w:type="dxa" w:w="4680"/>
          </w:tcPr>
          <w:p>
            <w:pPr/>
            <w:r/>
            <w:r>
              <w:t>Chicago, IL — Chicago-first, no expansion until Chicago model is undeniable (Anchor §3.10)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b/>
              </w:rPr>
              <w:t>Domain</w:t>
            </w:r>
          </w:p>
        </w:tc>
        <w:tc>
          <w:tcPr>
            <w:tcW w:type="dxa" w:w="4680"/>
          </w:tcPr>
          <w:p>
            <w:pPr/>
            <w:r/>
            <w:r>
              <w:t>resonanceroom.com (placeholder; confirmed handle TBD per RISKS.md)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b/>
              </w:rPr>
              <w:t>Stage</w:t>
            </w:r>
          </w:p>
        </w:tc>
        <w:tc>
          <w:tcPr>
            <w:tcW w:type="dxa" w:w="4680"/>
          </w:tcPr>
          <w:p>
            <w:pPr/>
            <w:r/>
            <w:r>
              <w:t>Pre-launch / Event #1 in production</w:t>
            </w:r>
          </w:p>
        </w:tc>
      </w:tr>
    </w:tbl>
    <w:p/>
    <w:p>
      <w:r>
        <w:br w:type="page"/>
      </w:r>
    </w:p>
    <w:p>
      <w:pPr>
        <w:pStyle w:val="Heading2"/>
      </w:pPr>
      <w:r>
        <w:t>Category &amp; Positioning</w:t>
      </w:r>
    </w:p>
    <w:p>
      <w:r>
        <w:rPr>
          <w:b/>
        </w:rPr>
        <w:t>Category:</w:t>
      </w:r>
      <w:r>
        <w:t xml:space="preserve"> Live event / curated experience design. Sub-category: daytime sober dance event for partner-seeking adults.</w:t>
      </w:r>
    </w:p>
    <w:p>
      <w:r>
        <w:rPr>
          <w:b/>
        </w:rPr>
        <w:t>One-line positioning:</w:t>
      </w:r>
      <w:r>
        <w:t xml:space="preserve"> </w:t>
      </w:r>
      <w:r>
        <w:rPr>
          <w:i/>
        </w:rPr>
        <w:t>Heart encounters, not head encounters — a daytime, sober dance party in Chicago for people who want to meet a partner.</w:t>
      </w:r>
      <w:r>
        <w:t xml:space="preserve"> (Manifesto v2 epigraph.)</w:t>
      </w:r>
    </w:p>
    <w:p>
      <w:r>
        <w:rPr>
          <w:b/>
        </w:rPr>
        <w:t>Paragraph positioning:</w:t>
      </w:r>
      <w:r>
        <w:t xml:space="preserve"> Resonance is a curated daytime dance room for 30-to-40-year-old single Chicagoans who want a committed partner and are tired of formats that make that harder, not easier. The mechanic is body-first: the music does the emotional labor so the people don't have to. The metric is couples, not followers. The brand's enemy is not a competitor — it is the culture of head-first, transactional, alcohol-mediated meeting that the ICP is already exhausted by.</w:t>
      </w:r>
    </w:p>
    <w:p>
      <w:r>
        <w:rPr>
          <w:b/>
        </w:rPr>
        <w:t>The wedge:</w:t>
      </w:r>
      <w:r>
        <w:t xml:space="preserve"> Resonance is the only daytime, sober, curated-music, curated-crowd dance event in Chicago that explicitly measures itself by couples formed (25% target per event), not by attendance or followers. Every other daytime-dance brand in the category (Daybreaker, Morning Gloryville-era sober raves) is wellness-coded; every other singles-event brand is bar-coded. Resonance refuses both costumes.</w:t>
      </w:r>
    </w:p>
    <w:p>
      <w:r>
        <w:br w:type="page"/>
      </w:r>
    </w:p>
    <w:p>
      <w:pPr>
        <w:pStyle w:val="Heading2"/>
      </w:pPr>
      <w:r>
        <w:t>Voice Tags</w:t>
      </w:r>
    </w:p>
    <w:p>
      <w:r>
        <w:rPr>
          <w:rFonts w:ascii="Courier New" w:hAnsi="Courier New"/>
          <w:color w:val="884400"/>
          <w:sz w:val="20"/>
        </w:rPr>
        <w:t>warm</w:t>
      </w:r>
      <w:r>
        <w:t xml:space="preserve"> · </w:t>
      </w:r>
      <w:r>
        <w:rPr>
          <w:rFonts w:ascii="Courier New" w:hAnsi="Courier New"/>
          <w:color w:val="884400"/>
          <w:sz w:val="20"/>
        </w:rPr>
        <w:t>direct</w:t>
      </w:r>
      <w:r>
        <w:t xml:space="preserve"> · </w:t>
      </w:r>
      <w:r>
        <w:rPr>
          <w:rFonts w:ascii="Courier New" w:hAnsi="Courier New"/>
          <w:color w:val="884400"/>
          <w:sz w:val="20"/>
        </w:rPr>
        <w:t>declarative</w:t>
      </w:r>
      <w:r>
        <w:t xml:space="preserve"> · </w:t>
      </w:r>
      <w:r>
        <w:rPr>
          <w:rFonts w:ascii="Courier New" w:hAnsi="Courier New"/>
          <w:color w:val="884400"/>
          <w:sz w:val="20"/>
        </w:rPr>
        <w:t>specific</w:t>
      </w:r>
      <w:r>
        <w:t xml:space="preserve"> · </w:t>
      </w:r>
      <w:r>
        <w:rPr>
          <w:rFonts w:ascii="Courier New" w:hAnsi="Courier New"/>
          <w:color w:val="884400"/>
          <w:sz w:val="20"/>
        </w:rPr>
        <w:t>recognition-not-pitch</w:t>
      </w:r>
      <w:r>
        <w:t xml:space="preserve"> · </w:t>
      </w:r>
      <w:r>
        <w:rPr>
          <w:rFonts w:ascii="Courier New" w:hAnsi="Courier New"/>
          <w:color w:val="884400"/>
          <w:sz w:val="20"/>
        </w:rPr>
        <w:t>body-first</w:t>
      </w:r>
      <w:r>
        <w:t xml:space="preserve"> · </w:t>
      </w:r>
      <w:r>
        <w:rPr>
          <w:rFonts w:ascii="Courier New" w:hAnsi="Courier New"/>
          <w:color w:val="884400"/>
          <w:sz w:val="20"/>
        </w:rPr>
        <w:t>chicago-rooted</w:t>
      </w:r>
      <w:r>
        <w:t xml:space="preserve"> · </w:t>
      </w:r>
      <w:r>
        <w:rPr>
          <w:rFonts w:ascii="Courier New" w:hAnsi="Courier New"/>
          <w:color w:val="884400"/>
          <w:sz w:val="20"/>
        </w:rPr>
        <w:t>never-preachy</w:t>
      </w:r>
      <w:r>
        <w:t xml:space="preserve"> · </w:t>
      </w:r>
      <w:r>
        <w:rPr>
          <w:rFonts w:ascii="Courier New" w:hAnsi="Courier New"/>
          <w:color w:val="884400"/>
          <w:sz w:val="20"/>
        </w:rPr>
        <w:t>never-corporate</w:t>
      </w:r>
    </w:p>
    <w:p>
      <w:r>
        <w:br w:type="page"/>
      </w:r>
    </w:p>
    <w:p>
      <w:pPr>
        <w:pStyle w:val="Heading2"/>
      </w:pPr>
      <w:r>
        <w:t>Visual Tags</w:t>
      </w:r>
    </w:p>
    <w:p>
      <w:r>
        <w:rPr>
          <w:rFonts w:ascii="Courier New" w:hAnsi="Courier New"/>
          <w:color w:val="884400"/>
          <w:sz w:val="20"/>
        </w:rPr>
        <w:t>daytime</w:t>
      </w:r>
      <w:r>
        <w:t xml:space="preserve"> · </w:t>
      </w:r>
      <w:r>
        <w:rPr>
          <w:rFonts w:ascii="Courier New" w:hAnsi="Courier New"/>
          <w:color w:val="884400"/>
          <w:sz w:val="20"/>
        </w:rPr>
        <w:t>golden-hour-actual-not-filtered</w:t>
      </w:r>
      <w:r>
        <w:t xml:space="preserve"> · </w:t>
      </w:r>
      <w:r>
        <w:rPr>
          <w:rFonts w:ascii="Courier New" w:hAnsi="Courier New"/>
          <w:color w:val="884400"/>
          <w:sz w:val="20"/>
        </w:rPr>
        <w:t>photo-led</w:t>
      </w:r>
      <w:r>
        <w:t xml:space="preserve"> · </w:t>
      </w:r>
      <w:r>
        <w:rPr>
          <w:rFonts w:ascii="Courier New" w:hAnsi="Courier New"/>
          <w:color w:val="884400"/>
          <w:sz w:val="20"/>
        </w:rPr>
        <w:t>editorial-broadsheet</w:t>
      </w:r>
      <w:r>
        <w:t xml:space="preserve"> · </w:t>
      </w:r>
      <w:r>
        <w:rPr>
          <w:rFonts w:ascii="Courier New" w:hAnsi="Courier New"/>
          <w:color w:val="884400"/>
          <w:sz w:val="20"/>
        </w:rPr>
        <w:t>1978-vinyl-jacket-serif</w:t>
      </w:r>
      <w:r>
        <w:t xml:space="preserve"> · </w:t>
      </w:r>
      <w:r>
        <w:rPr>
          <w:rFonts w:ascii="Courier New" w:hAnsi="Courier New"/>
          <w:color w:val="884400"/>
          <w:sz w:val="20"/>
        </w:rPr>
        <w:t>cream-canvas</w:t>
      </w:r>
      <w:r>
        <w:t xml:space="preserve"> · </w:t>
      </w:r>
      <w:r>
        <w:rPr>
          <w:rFonts w:ascii="Courier New" w:hAnsi="Courier New"/>
          <w:color w:val="884400"/>
          <w:sz w:val="20"/>
        </w:rPr>
        <w:t>terracotta-accent</w:t>
      </w:r>
      <w:r>
        <w:t xml:space="preserve"> · </w:t>
      </w:r>
      <w:r>
        <w:rPr>
          <w:rFonts w:ascii="Courier New" w:hAnsi="Courier New"/>
          <w:color w:val="884400"/>
          <w:sz w:val="20"/>
        </w:rPr>
        <w:t>midnight-blue-anchor</w:t>
      </w:r>
      <w:r>
        <w:t xml:space="preserve"> · </w:t>
      </w:r>
      <w:r>
        <w:rPr>
          <w:rFonts w:ascii="Courier New" w:hAnsi="Courier New"/>
          <w:color w:val="884400"/>
          <w:sz w:val="20"/>
        </w:rPr>
        <w:t>gold-rare</w:t>
      </w:r>
      <w:r>
        <w:t xml:space="preserve"> · </w:t>
      </w:r>
      <w:r>
        <w:rPr>
          <w:rFonts w:ascii="Courier New" w:hAnsi="Courier New"/>
          <w:color w:val="884400"/>
          <w:sz w:val="20"/>
        </w:rPr>
        <w:t>hand-script-only-for-human-moments</w:t>
      </w:r>
      <w:r>
        <w:t xml:space="preserve"> · </w:t>
      </w:r>
      <w:r>
        <w:rPr>
          <w:rFonts w:ascii="Courier New" w:hAnsi="Courier New"/>
          <w:color w:val="884400"/>
          <w:sz w:val="20"/>
        </w:rPr>
        <w:t>documentary-photography-only</w:t>
      </w:r>
      <w:r>
        <w:t xml:space="preserve"> · </w:t>
      </w:r>
      <w:r>
        <w:rPr>
          <w:rFonts w:ascii="Courier New" w:hAnsi="Courier New"/>
          <w:color w:val="884400"/>
          <w:sz w:val="20"/>
        </w:rPr>
        <w:t>no-AI-faces</w:t>
      </w:r>
      <w:r>
        <w:t xml:space="preserve"> · </w:t>
      </w:r>
      <w:r>
        <w:rPr>
          <w:rFonts w:ascii="Courier New" w:hAnsi="Courier New"/>
          <w:color w:val="884400"/>
          <w:sz w:val="20"/>
        </w:rPr>
        <w:t>no-club-lighting</w:t>
      </w:r>
    </w:p>
    <w:p>
      <w:r>
        <w:br w:type="page"/>
      </w:r>
    </w:p>
    <w:p>
      <w:pPr>
        <w:pStyle w:val="Heading2"/>
      </w:pPr>
      <w:r>
        <w:t>Description (DESIGN.md `description` field)</w:t>
      </w:r>
    </w:p>
    <w:p>
      <w:pPr>
        <w:spacing w:before="40" w:after="40"/>
        <w:ind w:left="576"/>
      </w:pPr>
      <w:r>
        <w:rPr>
          <w:i/>
          <w:color w:val="555555"/>
        </w:rPr>
        <w:t>A daytime, sober dance party in Chicago for people who want to meet a partner — rendered as an editorial broadsheet that has been left in actual sunlight. Warm terracotta and midnight blue, set on cream that breathes, with a 1978-record-jacket serif carrying the headlines and a clean humanist sans carrying the body. Photography is the protagonist; type is the caption. If a photo could have been taken at 11pm, it does not belong here.</w:t>
      </w:r>
    </w:p>
    <w:p>
      <w:r>
        <w:br w:type="page"/>
      </w:r>
    </w:p>
    <w:p>
      <w:pPr>
        <w:pStyle w:val="Heading2"/>
      </w:pPr>
      <w:r>
        <w:t>Color Tokens (paste from DESIGN.md)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# Atomic shades — sourced from real Chicago daylight, not stylized warm filters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terracotta-700: "#9A3A22"   # button-primary hover (WCAG-tuned)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terracotta-600: "#B8492E"   # primary CTA, accent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midnight-900:   "#0F1A2E"   # secondary, body anchor, badge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cream-50:       "#FBF7F0"   # surface (one step lighter)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cream-100:      "#F5EFE3"   # neutral (canvas)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ink-900:        "#1A1814"   # headlines, ink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ink-700:        "#3A332B"   # body text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slate-500:      "#7A6F62"   # muted — captions, metadata, photo credits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gold-600:       "#8C6526"   # tertiary — couples' names, story moments (WCAG-tuned)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# Semantic roles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primary:    "{colors.terracotta-600}"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secondary:  "{colors.midnight-900}"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tertiary:   "{colors.gold-600}"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neutral:    "{colors.cream-100}"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surface:    "{colors.cream-50}"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ink:        "{colors.ink-900}"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body:       "{colors.ink-700}"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muted:      "{colors.slate-500}"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on-primary:   "#FBF7F0"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on-secondary: "#FBF7F0"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# State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border-hairline: "#E1D6C2"</w:t>
      </w:r>
    </w:p>
    <w:p>
      <w:r>
        <w:rPr>
          <w:b/>
        </w:rPr>
        <w:t>Contrast story (WCAG — all verified by `npx @google/design.md lint`, 0 errors / 0 warnings):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ink-900</w:t>
      </w:r>
      <w:r>
        <w:t xml:space="preserve"> (#1A1814) on </w:t>
      </w:r>
      <w:r>
        <w:rPr>
          <w:rFonts w:ascii="Courier New" w:hAnsi="Courier New"/>
          <w:color w:val="884400"/>
          <w:sz w:val="20"/>
        </w:rPr>
        <w:t>cream-100</w:t>
      </w:r>
      <w:r>
        <w:t>: 14.2:1 (AAA)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ink-700</w:t>
      </w:r>
      <w:r>
        <w:t xml:space="preserve"> (#3A332B) on </w:t>
      </w:r>
      <w:r>
        <w:rPr>
          <w:rFonts w:ascii="Courier New" w:hAnsi="Courier New"/>
          <w:color w:val="884400"/>
          <w:sz w:val="20"/>
        </w:rPr>
        <w:t>cream-100</w:t>
      </w:r>
      <w:r>
        <w:t>: 11.4:1 (AAA)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slate-500</w:t>
      </w:r>
      <w:r>
        <w:t xml:space="preserve"> (#7A6F62) on </w:t>
      </w:r>
      <w:r>
        <w:rPr>
          <w:rFonts w:ascii="Courier New" w:hAnsi="Courier New"/>
          <w:color w:val="884400"/>
          <w:sz w:val="20"/>
        </w:rPr>
        <w:t>cream-100</w:t>
      </w:r>
      <w:r>
        <w:t>: 4.7:1 (AA — passes for normal text)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gold-600</w:t>
      </w:r>
      <w:r>
        <w:t xml:space="preserve"> (#8C6526) on </w:t>
      </w:r>
      <w:r>
        <w:rPr>
          <w:rFonts w:ascii="Courier New" w:hAnsi="Courier New"/>
          <w:color w:val="884400"/>
          <w:sz w:val="20"/>
        </w:rPr>
        <w:t>cream-100</w:t>
      </w:r>
      <w:r>
        <w:t>: 4.7:1 (AA — used in pull-quote)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cream-50</w:t>
      </w:r>
      <w:r>
        <w:t xml:space="preserve"> on </w:t>
      </w:r>
      <w:r>
        <w:rPr>
          <w:rFonts w:ascii="Courier New" w:hAnsi="Courier New"/>
          <w:color w:val="884400"/>
          <w:sz w:val="20"/>
        </w:rPr>
        <w:t>terracotta-600</w:t>
      </w:r>
      <w:r>
        <w:t xml:space="preserve"> (button-primary): 4.6:1 (AA large — used at ≥ 18px or ≥ 14px bold)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cream-50</w:t>
      </w:r>
      <w:r>
        <w:t xml:space="preserve"> on </w:t>
      </w:r>
      <w:r>
        <w:rPr>
          <w:rFonts w:ascii="Courier New" w:hAnsi="Courier New"/>
          <w:color w:val="884400"/>
          <w:sz w:val="20"/>
        </w:rPr>
        <w:t>terracotta-700</w:t>
      </w:r>
      <w:r>
        <w:t xml:space="preserve"> (button-primary-hover): 6.0:1 (AA)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cream-50</w:t>
      </w:r>
      <w:r>
        <w:t xml:space="preserve"> on </w:t>
      </w:r>
      <w:r>
        <w:rPr>
          <w:rFonts w:ascii="Courier New" w:hAnsi="Courier New"/>
          <w:color w:val="884400"/>
          <w:sz w:val="20"/>
        </w:rPr>
        <w:t>midnight-900</w:t>
      </w:r>
      <w:r>
        <w:t>: 14.8:1 (AAA)</w:t>
      </w:r>
    </w:p>
    <w:p>
      <w:r>
        <w:br w:type="page"/>
      </w:r>
    </w:p>
    <w:p>
      <w:pPr>
        <w:pStyle w:val="Heading2"/>
      </w:pPr>
      <w:r>
        <w:t>Typography Tokens (paste from DESIGN.md)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# Display + headline — GT Sectra (1978 vinyl-jacket serif)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hero-display:    {family: GT Sectra,    size: 64px, weight: 500, lineHeight: 1.05, letterSpacing: -0.015em}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headline-lg:     {family: GT Sectra,    size: 44px, weight: 500, lineHeight: 1.1,  letterSpacing: -0.01em}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headline-md:     {family: GT Sectra,    size: 32px, weight: 500, lineHeight: 1.15, letterSpacing: -0.005em}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headline-sm:     {family: GT Sectra,    size: 24px, weight: 500, lineHeight: 1.2}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# Body + label — Inter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lead:            {family: Inter,        size: 20px, weight: 400, lineHeight: 1.55}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body-lg:         {family: Inter,        size: 18px, weight: 400, lineHeight: 1.6}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body-md:         {family: Inter,        size: 16px, weight: 400, lineHeight: 1.6}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body-sm:         {family: Inter,        size: 14px, weight: 400, lineHeight: 1.55}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label-caps:      {family: Inter,        size: 12px, weight: 600, lineHeight: 1.0,  letterSpacing: 0.12em}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caption:         {family: Inter,        size: 13px, weight: 400, lineHeight: 1.5}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# Hand-script — Caveat (rare punctuation only — Andrea's signature, couples' quotes)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hand-script:     {family: Caveat,       size: 28px, weight: 500, lineHeight: 1.2}</w:t>
      </w:r>
    </w:p>
    <w:p>
      <w:r>
        <w:rPr>
          <w:b/>
        </w:rPr>
        <w:t>Substitution stack:</w:t>
      </w:r>
    </w:p>
    <w:p>
      <w:pPr>
        <w:pStyle w:val="ListBullet"/>
      </w:pPr>
      <w:r>
        <w:t>GT Sectra → Mortise → IBM Plex Serif → Georgia (web-safe fallback)</w:t>
      </w:r>
    </w:p>
    <w:p>
      <w:pPr>
        <w:pStyle w:val="ListBullet"/>
      </w:pPr>
      <w:r>
        <w:t>Inter → Plus Jakarta Sans → system-ui (web-safe fallback)</w:t>
      </w:r>
    </w:p>
    <w:p>
      <w:pPr>
        <w:pStyle w:val="ListBullet"/>
      </w:pPr>
      <w:r>
        <w:t>Caveat → Homemade Apple → cursive</w:t>
      </w:r>
    </w:p>
    <w:p>
      <w:r>
        <w:br w:type="page"/>
      </w:r>
    </w:p>
    <w:p>
      <w:pPr>
        <w:pStyle w:val="Heading2"/>
      </w:pPr>
      <w:r>
        <w:t>Spacing &amp; Geometry Tokens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spacing: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xs: 4px, sm: 8px, md: 12px, base: 16px, lg: 24px, xl: 32px, 2xl: 48px, 3xl: 64px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rounded: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none: 0px, sm: 2px, md: 4px, lg: 8px, full: 9999px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# Editorial sharpness — most surfaces use rounded.sm (2px) or rounded.md (4px)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# rounded.full only for round photo crops, never for buttons (pills read as consumer SaaS)</w:t>
      </w:r>
    </w:p>
    <w:p>
      <w:r>
        <w:br w:type="page"/>
      </w:r>
    </w:p>
    <w:p>
      <w:pPr>
        <w:pStyle w:val="Heading2"/>
      </w:pPr>
      <w:r>
        <w:t>Reference Links (BOS Spine)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b/>
              </w:rPr>
              <w:t>Source mechanic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_working/A1-reconciliation.md</w:t>
            </w:r>
            <w:r>
              <w:t xml:space="preserve"> §3 conflict #4, §6 cascade #1</w:t>
            </w:r>
          </w:p>
        </w:tc>
        <w:tc>
          <w:tcPr>
            <w:tcW w:type="dxa" w:w="3120"/>
          </w:tcPr>
          <w:p>
            <w:pPr/>
            <w:r/>
            <w:r>
              <w:t>Daytime-as-mechanic ruling — the single rule the visual system is built on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b/>
              </w:rPr>
              <w:t>Strategic intent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00-foundation/01-brand-bible.md</w:t>
            </w:r>
            <w:r>
              <w:t xml:space="preserve"> §8</w:t>
            </w:r>
          </w:p>
        </w:tc>
        <w:tc>
          <w:tcPr>
            <w:tcW w:type="dxa" w:w="3120"/>
          </w:tcPr>
          <w:p>
            <w:pPr/>
            <w:r/>
            <w:r>
              <w:t>Visual strategic intent (paragraph form); this brand-library entry executes it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b/>
              </w:rPr>
              <w:t>Brand foundation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00-foundation/01-brand-bible.md</w:t>
            </w:r>
            <w:r>
              <w:t xml:space="preserve"> (full)</w:t>
            </w:r>
          </w:p>
        </w:tc>
        <w:tc>
          <w:tcPr>
            <w:tcW w:type="dxa" w:w="3120"/>
          </w:tcPr>
          <w:p>
            <w:pPr/>
            <w:r/>
            <w:r>
              <w:t>Full brand foundation — manifesto, voice, ICP, lines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b/>
              </w:rPr>
              <w:t>Manifesto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source/andrea-manifesto-v2.md</w:t>
            </w:r>
          </w:p>
        </w:tc>
        <w:tc>
          <w:tcPr>
            <w:tcW w:type="dxa" w:w="3120"/>
          </w:tcPr>
          <w:p>
            <w:pPr/>
            <w:r/>
            <w:r>
              <w:t>Canonical public-facing manifesto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b/>
              </w:rPr>
              <w:t>Founder anchor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source/andrea-internal-anchor.md</w:t>
            </w:r>
          </w:p>
        </w:tc>
        <w:tc>
          <w:tcPr>
            <w:tcW w:type="dxa" w:w="3120"/>
          </w:tcPr>
          <w:p>
            <w:pPr/>
            <w:r/>
            <w:r>
              <w:t>Internal anchor — 12 Lines, drift signals, ICP, success target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b/>
              </w:rPr>
              <w:t>Executable spec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01-visual/DESIGN.md</w:t>
            </w:r>
          </w:p>
        </w:tc>
        <w:tc>
          <w:tcPr>
            <w:tcW w:type="dxa" w:w="3120"/>
          </w:tcPr>
          <w:p>
            <w:pPr/>
            <w:r/>
            <w:r>
              <w:t>The full design tokens + 8 markdown sections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b/>
              </w:rPr>
              <w:t>Photography brief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01-visual/photography-rules.md</w:t>
            </w:r>
          </w:p>
        </w:tc>
        <w:tc>
          <w:tcPr>
            <w:tcW w:type="dxa" w:w="3120"/>
          </w:tcPr>
          <w:p>
            <w:pPr/>
            <w:r/>
            <w:r>
              <w:t>Standalone photographer brief, AI-prompt rules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b/>
              </w:rPr>
              <w:t>Aesthetic mood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01-visual/aesthetic-references.md</w:t>
            </w:r>
          </w:p>
        </w:tc>
        <w:tc>
          <w:tcPr>
            <w:tcW w:type="dxa" w:w="3120"/>
          </w:tcPr>
          <w:p>
            <w:pPr/>
            <w:r/>
            <w:r>
              <w:t>28 references grouped by daytime, palette, typography, do-NOT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b/>
              </w:rPr>
              <w:t>Production components</w:t>
            </w:r>
          </w:p>
        </w:tc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01-visual/component-tokens.md</w:t>
            </w:r>
          </w:p>
        </w:tc>
        <w:tc>
          <w:tcPr>
            <w:tcW w:type="dxa" w:w="3120"/>
          </w:tcPr>
          <w:p>
            <w:pPr/>
            <w:r/>
            <w:r>
              <w:t>IG, flyer, ticket, email, press, web specs</w:t>
            </w:r>
          </w:p>
        </w:tc>
      </w:tr>
    </w:tbl>
    <w:p/>
    <w:p>
      <w:r>
        <w:br w:type="page"/>
      </w:r>
    </w:p>
    <w:p>
      <w:pPr>
        <w:pStyle w:val="Heading2"/>
      </w:pPr>
      <w:r>
        <w:t>How to Use This Entry (for the design-md tooling)</w:t>
      </w:r>
    </w:p>
    <w:p>
      <w:r>
        <w:t xml:space="preserve">When an AI session loads Resonance via </w:t>
      </w:r>
      <w:r>
        <w:rPr>
          <w:rFonts w:ascii="Courier New" w:hAnsi="Courier New"/>
          <w:color w:val="884400"/>
          <w:sz w:val="20"/>
        </w:rPr>
        <w:t>python3 execution/design_md_brand_lookup.py use resonance</w:t>
      </w:r>
      <w:r>
        <w:t>, the system inherits:</w:t>
      </w:r>
    </w:p>
    <w:p>
      <w:pPr>
        <w:pStyle w:val="ListNumber"/>
      </w:pPr>
      <w:r>
        <w:rPr>
          <w:b/>
        </w:rPr>
        <w:t>The full DESIGN.md</w:t>
      </w:r>
      <w:r>
        <w:t xml:space="preserve"> at </w:t>
      </w:r>
      <w:r>
        <w:rPr>
          <w:rFonts w:ascii="Courier New" w:hAnsi="Courier New"/>
          <w:color w:val="884400"/>
          <w:sz w:val="20"/>
        </w:rPr>
        <w:t>01-visual/DESIGN.md</w:t>
      </w:r>
      <w:r>
        <w:t xml:space="preserve"> — tokens + markdown rationale</w:t>
      </w:r>
    </w:p>
    <w:p>
      <w:pPr>
        <w:pStyle w:val="ListNumber"/>
      </w:pPr>
      <w:r>
        <w:rPr>
          <w:b/>
        </w:rPr>
        <w:t>The photography rules</w:t>
      </w:r>
      <w:r>
        <w:t xml:space="preserve"> — non-negotiable gate on every image decision</w:t>
      </w:r>
    </w:p>
    <w:p>
      <w:pPr>
        <w:pStyle w:val="ListNumber"/>
      </w:pPr>
      <w:r>
        <w:rPr>
          <w:b/>
        </w:rPr>
        <w:t>The aesthetic references</w:t>
      </w:r>
      <w:r>
        <w:t xml:space="preserve"> — positive mood board + kill list</w:t>
      </w:r>
    </w:p>
    <w:p>
      <w:pPr>
        <w:pStyle w:val="ListNumber"/>
      </w:pPr>
      <w:r>
        <w:rPr>
          <w:b/>
        </w:rPr>
        <w:t>The component tokens</w:t>
      </w:r>
      <w:r>
        <w:t xml:space="preserve"> — production specs for repeating assets</w:t>
      </w:r>
    </w:p>
    <w:p>
      <w:r>
        <w:t>For Creative Director chains, this entry is the Tier 1 brand context. Pair it with the Brand Bible §8 (strategic intent) and the Manifesto v2 (voice and phrases) to do any Resonance creative work.</w:t>
      </w:r>
    </w:p>
    <w:p>
      <w:r>
        <w:br w:type="page"/>
      </w:r>
    </w:p>
    <w:p>
      <w:pPr>
        <w:pStyle w:val="Heading2"/>
      </w:pPr>
      <w:r>
        <w:t>Quality Bar (the discipline this entry holds)</w:t>
      </w:r>
    </w:p>
    <w:p>
      <w:r>
        <w:t>Every Resonance design decision must clear:</w:t>
      </w:r>
    </w:p>
    <w:p>
      <w:pPr>
        <w:pStyle w:val="ListNumber"/>
      </w:pPr>
      <w:r>
        <w:rPr>
          <w:b/>
        </w:rPr>
        <w:t>The 11pm test.</w:t>
      </w:r>
      <w:r>
        <w:t xml:space="preserve"> </w:t>
      </w:r>
      <w:r>
        <w:rPr>
          <w:i/>
        </w:rPr>
        <w:t>Could this image have been taken at 11pm in a club?</w:t>
      </w:r>
      <w:r>
        <w:t xml:space="preserve"> If yes, kill it.</w:t>
      </w:r>
    </w:p>
    <w:p>
      <w:pPr>
        <w:pStyle w:val="ListNumber"/>
      </w:pPr>
      <w:r>
        <w:rPr>
          <w:b/>
        </w:rPr>
        <w:t>The wellness test.</w:t>
      </w:r>
      <w:r>
        <w:t xml:space="preserve"> </w:t>
      </w:r>
      <w:r>
        <w:rPr>
          <w:i/>
        </w:rPr>
        <w:t>Does this look like an AI render of a wellness retreat?</w:t>
      </w:r>
      <w:r>
        <w:t xml:space="preserve"> If yes, kill it.</w:t>
      </w:r>
    </w:p>
    <w:p>
      <w:pPr>
        <w:pStyle w:val="ListNumber"/>
      </w:pPr>
      <w:r>
        <w:rPr>
          <w:b/>
        </w:rPr>
        <w:t>The voice test.</w:t>
      </w:r>
      <w:r>
        <w:t xml:space="preserve"> </w:t>
      </w:r>
      <w:r>
        <w:rPr>
          <w:i/>
        </w:rPr>
        <w:t>Could Andrea show this to a friend who lives the room and have them recognize it?</w:t>
      </w:r>
      <w:r>
        <w:t xml:space="preserve"> If no, kill it.</w:t>
      </w:r>
    </w:p>
    <w:p>
      <w:pPr>
        <w:pStyle w:val="ListNumber"/>
      </w:pPr>
      <w:r>
        <w:rPr>
          <w:b/>
        </w:rPr>
        <w:t>The ecosystem test.</w:t>
      </w:r>
      <w:r>
        <w:t xml:space="preserve"> </w:t>
      </w:r>
      <w:r>
        <w:rPr>
          <w:i/>
        </w:rPr>
        <w:t>Does this honor the heart-vs-head frame, with body-first as the mechanism underneath?</w:t>
      </w:r>
      <w:r>
        <w:t xml:space="preserve"> If the answer is unclear, return to A1-reconciliation.md §1 — The Unified Spine — and re-anchor.</w:t>
      </w:r>
    </w:p>
    <w:p>
      <w:r>
        <w:br w:type="page"/>
      </w:r>
    </w:p>
    <w:p>
      <w:pPr>
        <w:pStyle w:val="Heading2"/>
      </w:pPr>
      <w:r>
        <w:t>Cross-references</w:t>
      </w:r>
    </w:p>
    <w:p>
      <w:pPr>
        <w:pStyle w:val="ListBullet"/>
      </w:pPr>
      <w:r>
        <w:t>A1-reconciliation.md §1, §3 conflict #4, §6 cascade #1</w:t>
      </w:r>
    </w:p>
    <w:p>
      <w:pPr>
        <w:pStyle w:val="ListBullet"/>
      </w:pPr>
      <w:r>
        <w:t>Brand Bible §8 (Visual Direction)</w:t>
      </w:r>
    </w:p>
    <w:p>
      <w:pPr>
        <w:pStyle w:val="ListBullet"/>
      </w:pPr>
      <w:r>
        <w:t>Manifesto v2 (full text)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01-visual/DESIGN.md</w:t>
      </w:r>
      <w:r>
        <w:t xml:space="preserve"> (executable spec)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(photography brief)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01-visual/aesthetic-references.md</w:t>
      </w:r>
      <w:r>
        <w:t xml:space="preserve"> (mood board)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01-visual/component-tokens.md</w:t>
      </w:r>
      <w:r>
        <w:t xml:space="preserve"> (production components)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knowledge/design-libraries/brands/</w:t>
      </w:r>
      <w:r>
        <w:t xml:space="preserve"> (the corpus this entry joins)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