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D3B1B" w14:textId="6FE95AFD" w:rsidR="00B42AD0" w:rsidRPr="008C3F8D" w:rsidRDefault="00B42AD0" w:rsidP="001954A7">
      <w:pPr>
        <w:spacing w:line="480" w:lineRule="auto"/>
        <w:jc w:val="center"/>
        <w:rPr>
          <w:rFonts w:eastAsia="Times New Roman"/>
          <w:color w:val="1F1F1F"/>
          <w:lang w:val="es-ES"/>
        </w:rPr>
      </w:pPr>
      <w:r w:rsidRPr="008C3F8D">
        <w:rPr>
          <w:rFonts w:eastAsia="Times New Roman"/>
          <w:b/>
          <w:bCs/>
          <w:color w:val="1F1F1F"/>
          <w:bdr w:val="none" w:sz="0" w:space="0" w:color="auto" w:frame="1"/>
          <w:lang w:val="es-ES"/>
        </w:rPr>
        <w:t>UNIVERSIDAD SAN SEBASTIÁN</w:t>
      </w:r>
    </w:p>
    <w:p w14:paraId="60B15672" w14:textId="621D8D20" w:rsidR="00B42AD0" w:rsidRPr="008C3F8D" w:rsidRDefault="00B42AD0" w:rsidP="001954A7">
      <w:pPr>
        <w:spacing w:line="480" w:lineRule="auto"/>
        <w:jc w:val="center"/>
        <w:rPr>
          <w:rFonts w:eastAsia="Times New Roman"/>
          <w:color w:val="1F1F1F"/>
          <w:lang w:val="es-ES"/>
        </w:rPr>
      </w:pPr>
      <w:r w:rsidRPr="008C3F8D">
        <w:rPr>
          <w:rFonts w:eastAsia="Times New Roman"/>
          <w:b/>
          <w:bCs/>
          <w:color w:val="1F1F1F"/>
          <w:bdr w:val="none" w:sz="0" w:space="0" w:color="auto" w:frame="1"/>
          <w:lang w:val="es-ES"/>
        </w:rPr>
        <w:t>FACULTAD DE ECONOMÍA Y GOBIERNO</w:t>
      </w:r>
    </w:p>
    <w:p w14:paraId="62211DF0" w14:textId="0F1AE15E" w:rsidR="00B04A21" w:rsidRPr="008C3F8D" w:rsidRDefault="00DC5354" w:rsidP="001954A7">
      <w:pPr>
        <w:spacing w:line="480" w:lineRule="auto"/>
        <w:jc w:val="center"/>
        <w:rPr>
          <w:rFonts w:eastAsia="Times New Roman"/>
          <w:b/>
          <w:bCs/>
          <w:color w:val="1F1F1F"/>
          <w:bdr w:val="none" w:sz="0" w:space="0" w:color="auto" w:frame="1"/>
          <w:lang w:val="es-ES"/>
        </w:rPr>
      </w:pPr>
      <w:r w:rsidRPr="008C3F8D">
        <w:rPr>
          <w:rFonts w:eastAsia="Times New Roman"/>
          <w:b/>
          <w:bCs/>
          <w:color w:val="1F1F1F"/>
          <w:bdr w:val="none" w:sz="0" w:space="0" w:color="auto" w:frame="1"/>
          <w:lang w:val="es-ES"/>
        </w:rPr>
        <w:t xml:space="preserve">HOMICIDIOS </w:t>
      </w:r>
      <w:r w:rsidR="00FB7F94" w:rsidRPr="008C3F8D">
        <w:rPr>
          <w:rFonts w:eastAsia="Times New Roman"/>
          <w:b/>
          <w:bCs/>
          <w:color w:val="1F1F1F"/>
          <w:bdr w:val="none" w:sz="0" w:space="0" w:color="auto" w:frame="1"/>
          <w:lang w:val="es-ES"/>
        </w:rPr>
        <w:t xml:space="preserve">EN CHILE </w:t>
      </w:r>
      <w:r w:rsidRPr="008C3F8D">
        <w:rPr>
          <w:rFonts w:eastAsia="Times New Roman"/>
          <w:b/>
          <w:bCs/>
          <w:color w:val="1F1F1F"/>
          <w:bdr w:val="none" w:sz="0" w:space="0" w:color="auto" w:frame="1"/>
          <w:lang w:val="es-ES"/>
        </w:rPr>
        <w:t xml:space="preserve">Y SU RELACIÓN CON LA DENSIDAD POBLACIONAL </w:t>
      </w:r>
    </w:p>
    <w:p w14:paraId="0BBA9EFE" w14:textId="4FAAAFA5" w:rsidR="00B42AD0" w:rsidRPr="008C3F8D" w:rsidRDefault="0050089C" w:rsidP="001954A7">
      <w:pPr>
        <w:spacing w:line="480" w:lineRule="auto"/>
        <w:jc w:val="center"/>
        <w:rPr>
          <w:rFonts w:eastAsia="Times New Roman"/>
          <w:b/>
          <w:bCs/>
          <w:color w:val="1F1F1F"/>
          <w:bdr w:val="none" w:sz="0" w:space="0" w:color="auto" w:frame="1"/>
          <w:lang w:val="es-ES"/>
        </w:rPr>
      </w:pPr>
      <w:r w:rsidRPr="008C3F8D">
        <w:rPr>
          <w:rFonts w:eastAsia="Times New Roman"/>
          <w:b/>
          <w:bCs/>
          <w:color w:val="1F1F1F"/>
          <w:bdr w:val="none" w:sz="0" w:space="0" w:color="auto" w:frame="1"/>
          <w:lang w:val="es-ES"/>
        </w:rPr>
        <w:t>FERNANDA ARRIETA</w:t>
      </w:r>
    </w:p>
    <w:p w14:paraId="00FD6515" w14:textId="6317A3E8" w:rsidR="00B42AD0" w:rsidRPr="008C3F8D" w:rsidRDefault="0062678F" w:rsidP="001954A7">
      <w:pPr>
        <w:spacing w:line="480" w:lineRule="auto"/>
        <w:jc w:val="center"/>
        <w:rPr>
          <w:rFonts w:eastAsia="Times New Roman"/>
          <w:color w:val="1F1F1F"/>
          <w:lang w:val="es-ES"/>
        </w:rPr>
      </w:pPr>
      <w:r w:rsidRPr="008C3F8D">
        <w:rPr>
          <w:rFonts w:eastAsia="Times New Roman"/>
          <w:b/>
          <w:bCs/>
          <w:color w:val="1F1F1F"/>
          <w:bdr w:val="none" w:sz="0" w:space="0" w:color="auto" w:frame="1"/>
          <w:lang w:val="es-ES"/>
        </w:rPr>
        <w:t>FARRIETAC@CORREO.USS.CL</w:t>
      </w:r>
    </w:p>
    <w:p w14:paraId="36E40769" w14:textId="266C2433" w:rsidR="0050089C" w:rsidRPr="008C3F8D" w:rsidRDefault="0050089C" w:rsidP="001954A7">
      <w:pPr>
        <w:spacing w:line="480" w:lineRule="auto"/>
        <w:jc w:val="center"/>
        <w:rPr>
          <w:rFonts w:eastAsia="Times New Roman"/>
          <w:b/>
          <w:bCs/>
          <w:color w:val="1F1F1F"/>
          <w:bdr w:val="none" w:sz="0" w:space="0" w:color="auto" w:frame="1"/>
          <w:lang w:val="es-ES"/>
        </w:rPr>
      </w:pPr>
      <w:r w:rsidRPr="008C3F8D">
        <w:rPr>
          <w:rFonts w:eastAsia="Times New Roman"/>
          <w:b/>
          <w:bCs/>
          <w:color w:val="1F1F1F"/>
          <w:bdr w:val="none" w:sz="0" w:space="0" w:color="auto" w:frame="1"/>
          <w:lang w:val="es-ES"/>
        </w:rPr>
        <w:t>ADMINISTRACIÓN PÚBLICA</w:t>
      </w:r>
    </w:p>
    <w:p w14:paraId="7E1B3029" w14:textId="416D94A8" w:rsidR="00B42AD0" w:rsidRPr="008C3F8D" w:rsidRDefault="0050089C" w:rsidP="001954A7">
      <w:pPr>
        <w:spacing w:line="480" w:lineRule="auto"/>
        <w:jc w:val="center"/>
        <w:rPr>
          <w:rFonts w:eastAsia="Times New Roman"/>
          <w:color w:val="1F1F1F"/>
          <w:lang w:val="es-ES"/>
        </w:rPr>
      </w:pPr>
      <w:r w:rsidRPr="008C3F8D">
        <w:rPr>
          <w:rFonts w:eastAsia="Times New Roman"/>
          <w:b/>
          <w:bCs/>
          <w:color w:val="1F1F1F"/>
          <w:bdr w:val="none" w:sz="0" w:space="0" w:color="auto" w:frame="1"/>
          <w:lang w:val="es-ES"/>
        </w:rPr>
        <w:t xml:space="preserve">TECNOLOGÍA PARA LA GESTIÓN </w:t>
      </w:r>
      <w:r w:rsidR="007C0717" w:rsidRPr="008C3F8D">
        <w:rPr>
          <w:rFonts w:eastAsia="Times New Roman"/>
          <w:b/>
          <w:bCs/>
          <w:color w:val="1F1F1F"/>
          <w:bdr w:val="none" w:sz="0" w:space="0" w:color="auto" w:frame="1"/>
          <w:lang w:val="es-ES"/>
        </w:rPr>
        <w:t>1</w:t>
      </w:r>
    </w:p>
    <w:p w14:paraId="74139AAD" w14:textId="1BA30367" w:rsidR="00B42AD0" w:rsidRPr="008C3F8D" w:rsidRDefault="0050089C" w:rsidP="001954A7">
      <w:pPr>
        <w:spacing w:line="480" w:lineRule="auto"/>
        <w:jc w:val="center"/>
        <w:rPr>
          <w:rFonts w:eastAsia="Times New Roman"/>
          <w:color w:val="1F1F1F"/>
          <w:lang w:val="es-ES"/>
        </w:rPr>
      </w:pPr>
      <w:r w:rsidRPr="008C3F8D">
        <w:rPr>
          <w:rFonts w:eastAsia="Times New Roman"/>
          <w:b/>
          <w:bCs/>
          <w:color w:val="1F1F1F"/>
          <w:bdr w:val="none" w:sz="0" w:space="0" w:color="auto" w:frame="1"/>
          <w:lang w:val="es-ES"/>
        </w:rPr>
        <w:t>KENNETH BUNKER</w:t>
      </w:r>
    </w:p>
    <w:p w14:paraId="5D43F9DB" w14:textId="7F347AAD" w:rsidR="007A6F69" w:rsidRPr="008C3F8D" w:rsidRDefault="007A6F69" w:rsidP="001954A7">
      <w:pPr>
        <w:spacing w:line="480" w:lineRule="auto"/>
        <w:jc w:val="center"/>
        <w:rPr>
          <w:rFonts w:eastAsia="Times New Roman"/>
          <w:b/>
          <w:bCs/>
          <w:color w:val="1F1F1F"/>
          <w:bdr w:val="none" w:sz="0" w:space="0" w:color="auto" w:frame="1"/>
          <w:lang w:val="es-ES"/>
        </w:rPr>
      </w:pPr>
      <w:r w:rsidRPr="008C3F8D">
        <w:rPr>
          <w:rFonts w:eastAsia="Times New Roman"/>
          <w:b/>
          <w:bCs/>
          <w:color w:val="1F1F1F"/>
          <w:bdr w:val="none" w:sz="0" w:space="0" w:color="auto" w:frame="1"/>
          <w:lang w:val="es-ES"/>
        </w:rPr>
        <w:t>17/06/2024</w:t>
      </w:r>
    </w:p>
    <w:p w14:paraId="428AFB7D" w14:textId="77777777" w:rsidR="00A53259" w:rsidRDefault="00F858A0" w:rsidP="00A53259">
      <w:pPr>
        <w:spacing w:line="480" w:lineRule="auto"/>
        <w:jc w:val="center"/>
        <w:rPr>
          <w:rFonts w:eastAsia="Times New Roman"/>
          <w:b/>
          <w:bCs/>
          <w:color w:val="1F1F1F"/>
          <w:bdr w:val="none" w:sz="0" w:space="0" w:color="auto" w:frame="1"/>
          <w:lang w:val="es-ES"/>
        </w:rPr>
      </w:pPr>
      <w:r>
        <w:rPr>
          <w:rFonts w:eastAsia="Times New Roman"/>
          <w:b/>
          <w:bCs/>
          <w:color w:val="1F1F1F"/>
          <w:bdr w:val="none" w:sz="0" w:space="0" w:color="auto" w:frame="1"/>
          <w:lang w:val="es-ES"/>
        </w:rPr>
        <w:t>07</w:t>
      </w:r>
      <w:r w:rsidR="00EC5904" w:rsidRPr="008C3F8D">
        <w:rPr>
          <w:rFonts w:eastAsia="Times New Roman"/>
          <w:b/>
          <w:bCs/>
          <w:color w:val="1F1F1F"/>
          <w:bdr w:val="none" w:sz="0" w:space="0" w:color="auto" w:frame="1"/>
          <w:lang w:val="es-ES"/>
        </w:rPr>
        <w:t>.5</w:t>
      </w:r>
      <w:r>
        <w:rPr>
          <w:rFonts w:eastAsia="Times New Roman"/>
          <w:b/>
          <w:bCs/>
          <w:color w:val="1F1F1F"/>
          <w:bdr w:val="none" w:sz="0" w:space="0" w:color="auto" w:frame="1"/>
          <w:lang w:val="es-ES"/>
        </w:rPr>
        <w:t>9</w:t>
      </w:r>
      <w:r w:rsidR="00EC5904" w:rsidRPr="008C3F8D">
        <w:rPr>
          <w:rFonts w:eastAsia="Times New Roman"/>
          <w:b/>
          <w:bCs/>
          <w:color w:val="1F1F1F"/>
          <w:bdr w:val="none" w:sz="0" w:space="0" w:color="auto" w:frame="1"/>
          <w:lang w:val="es-ES"/>
        </w:rPr>
        <w:t>AM</w:t>
      </w:r>
    </w:p>
    <w:p w14:paraId="02E77292" w14:textId="483EAB10" w:rsidR="0055107B" w:rsidRPr="00A53259" w:rsidRDefault="0042388A" w:rsidP="00A53259">
      <w:pPr>
        <w:spacing w:line="480" w:lineRule="auto"/>
        <w:jc w:val="center"/>
        <w:rPr>
          <w:rFonts w:eastAsia="Times New Roman"/>
          <w:b/>
          <w:bCs/>
          <w:color w:val="1F1F1F"/>
          <w:bdr w:val="none" w:sz="0" w:space="0" w:color="auto" w:frame="1"/>
          <w:lang w:val="es-ES"/>
        </w:rPr>
      </w:pPr>
      <w:r>
        <w:rPr>
          <w:rFonts w:eastAsia="Times New Roman"/>
          <w:b/>
          <w:bCs/>
          <w:color w:val="1F1F1F"/>
          <w:bdr w:val="none" w:sz="0" w:space="0" w:color="auto" w:frame="1"/>
          <w:lang w:val="es-ES"/>
        </w:rPr>
        <w:t>3.017 PALABRAS</w:t>
      </w:r>
      <w:r w:rsidR="0055107B">
        <w:rPr>
          <w:lang w:val="es-CL"/>
        </w:rPr>
        <w:br w:type="page"/>
      </w:r>
    </w:p>
    <w:p w14:paraId="73BABD22" w14:textId="359CAC0F" w:rsidR="0006580E" w:rsidRPr="00945E7D" w:rsidRDefault="00945E7D" w:rsidP="00945E7D">
      <w:pPr>
        <w:spacing w:line="480" w:lineRule="auto"/>
        <w:jc w:val="both"/>
        <w:rPr>
          <w:b/>
          <w:bCs/>
          <w:lang w:val="es-CL"/>
        </w:rPr>
      </w:pPr>
      <w:r w:rsidRPr="00945E7D">
        <w:rPr>
          <w:b/>
          <w:bCs/>
          <w:lang w:val="es-CL"/>
        </w:rPr>
        <w:lastRenderedPageBreak/>
        <w:t>1.</w:t>
      </w:r>
      <w:r>
        <w:rPr>
          <w:b/>
          <w:bCs/>
          <w:lang w:val="es-CL"/>
        </w:rPr>
        <w:t xml:space="preserve"> </w:t>
      </w:r>
      <w:r w:rsidR="00803B7C" w:rsidRPr="00945E7D">
        <w:rPr>
          <w:b/>
          <w:bCs/>
          <w:lang w:val="es-CL"/>
        </w:rPr>
        <w:t>Introducción</w:t>
      </w:r>
    </w:p>
    <w:p w14:paraId="03993888" w14:textId="6EC9D3A0" w:rsidR="00945E7D" w:rsidRDefault="00C30D90" w:rsidP="00945E7D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Diversos estudios se han planteado la posible relación </w:t>
      </w:r>
      <w:r w:rsidR="00224964">
        <w:rPr>
          <w:lang w:val="es-CL"/>
        </w:rPr>
        <w:t xml:space="preserve">entre la densidad poblacional en distintos niveles (nacional y local) con la tasa de homicidios o, a modo menos general, </w:t>
      </w:r>
      <w:r w:rsidR="00E948C2">
        <w:rPr>
          <w:lang w:val="es-CL"/>
        </w:rPr>
        <w:t>el índice de criminalidad (</w:t>
      </w:r>
      <w:r w:rsidR="00195F5B">
        <w:rPr>
          <w:lang w:val="es-CL"/>
        </w:rPr>
        <w:t>Carrillo, 2019; Núñez, Rivera</w:t>
      </w:r>
      <w:r w:rsidR="00DF6553">
        <w:rPr>
          <w:lang w:val="es-CL"/>
        </w:rPr>
        <w:t>,</w:t>
      </w:r>
      <w:r w:rsidR="00195F5B">
        <w:rPr>
          <w:lang w:val="es-CL"/>
        </w:rPr>
        <w:t xml:space="preserve"> Villavicencio</w:t>
      </w:r>
      <w:r w:rsidR="00DF6553">
        <w:rPr>
          <w:lang w:val="es-CL"/>
        </w:rPr>
        <w:t xml:space="preserve"> &amp; Molina, 2003; Sandoval &amp; Barón, </w:t>
      </w:r>
      <w:r w:rsidR="001B63DC">
        <w:rPr>
          <w:lang w:val="es-CL"/>
        </w:rPr>
        <w:t xml:space="preserve">2008; Vallejo &amp; Villegas, 2018; </w:t>
      </w:r>
      <w:r w:rsidR="000865C9">
        <w:rPr>
          <w:lang w:val="es-CL"/>
        </w:rPr>
        <w:t>Vargas, 2021).</w:t>
      </w:r>
    </w:p>
    <w:p w14:paraId="5F55F976" w14:textId="4C0860EF" w:rsidR="007F1148" w:rsidRDefault="00FE2200" w:rsidP="00CF0B72">
      <w:pPr>
        <w:spacing w:line="480" w:lineRule="auto"/>
        <w:jc w:val="both"/>
        <w:rPr>
          <w:lang w:val="es-CL"/>
        </w:rPr>
      </w:pPr>
      <w:r>
        <w:rPr>
          <w:lang w:val="es-CL"/>
        </w:rPr>
        <w:t>El propósito de esta investigación es plantear la interrogante</w:t>
      </w:r>
      <w:r w:rsidR="00D66019">
        <w:rPr>
          <w:lang w:val="es-CL"/>
        </w:rPr>
        <w:t xml:space="preserve">: ¿Existe relación entre la densidad poblacional de una comuna y la tasa de homicidios?, </w:t>
      </w:r>
      <w:r w:rsidR="00647529">
        <w:rPr>
          <w:lang w:val="es-CL"/>
        </w:rPr>
        <w:t>la hipótesis planteada responde que, a mayor</w:t>
      </w:r>
      <w:r w:rsidR="009C73E7">
        <w:rPr>
          <w:lang w:val="es-CL"/>
        </w:rPr>
        <w:t xml:space="preserve"> densidad poblacional, mayor es la tasa de homicidios.</w:t>
      </w:r>
    </w:p>
    <w:p w14:paraId="45C94DCB" w14:textId="7BAAF068" w:rsidR="00BF2829" w:rsidRDefault="00ED7C12" w:rsidP="00CF0B72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Se busca que esto pueda servir a modo de base para futuras investigaciones </w:t>
      </w:r>
      <w:r w:rsidR="00A916F2">
        <w:rPr>
          <w:lang w:val="es-CL"/>
        </w:rPr>
        <w:t>y toma de decisiones de parte del Estado</w:t>
      </w:r>
      <w:r w:rsidR="004D131B">
        <w:rPr>
          <w:lang w:val="es-CL"/>
        </w:rPr>
        <w:t>, ya sea por la interpretación de los resultados como por otras conclusiones.</w:t>
      </w:r>
    </w:p>
    <w:p w14:paraId="697711C7" w14:textId="56A9C7EE" w:rsidR="004D131B" w:rsidRPr="00AB0D04" w:rsidRDefault="00AB0D04" w:rsidP="00CF0B72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El documento cuenta con diez secciones, siendo esta la primera. En la segunda será abordado el marco teórico, donde se expondrán brevemente los textos recopilados </w:t>
      </w:r>
      <w:r w:rsidR="002B4FE7">
        <w:rPr>
          <w:lang w:val="es-CL"/>
        </w:rPr>
        <w:t xml:space="preserve">para la investigación; estos son de origen nacional e internacional. En la tercera sección se presentará la pregunta de investigación y las variables utilizadas. En la cuarta </w:t>
      </w:r>
      <w:r w:rsidR="00571D2F">
        <w:rPr>
          <w:lang w:val="es-CL"/>
        </w:rPr>
        <w:t>la hipótesis planteada por la autora, en la quinta la metodo</w:t>
      </w:r>
      <w:r w:rsidR="00066ADA">
        <w:rPr>
          <w:lang w:val="es-CL"/>
        </w:rPr>
        <w:t xml:space="preserve">logía y los datos </w:t>
      </w:r>
      <w:r w:rsidR="00BE5D77">
        <w:rPr>
          <w:lang w:val="es-CL"/>
        </w:rPr>
        <w:t xml:space="preserve">dispuestos para investigar; esto incluirá </w:t>
      </w:r>
      <w:r w:rsidR="00396577">
        <w:rPr>
          <w:lang w:val="es-CL"/>
        </w:rPr>
        <w:t>las técnicas usadas y elementos que debieron ser eliminados p</w:t>
      </w:r>
      <w:r w:rsidR="009A06B5">
        <w:rPr>
          <w:lang w:val="es-CL"/>
        </w:rPr>
        <w:t xml:space="preserve">ara responder de forma más eficaz la pregunta de investigación. En la sexta </w:t>
      </w:r>
      <w:r w:rsidR="001865B2">
        <w:rPr>
          <w:lang w:val="es-CL"/>
        </w:rPr>
        <w:t xml:space="preserve">se mostrarán los resultados de los datos por medio de un gráfico de dispersión, su respectiva fórmula y una tabla que indicará elementos tales como el promedio de cada variable y su desviación estándar, En la séptima </w:t>
      </w:r>
      <w:r w:rsidR="009B237A">
        <w:rPr>
          <w:lang w:val="es-CL"/>
        </w:rPr>
        <w:t xml:space="preserve">se realizará una discusión de los resultados y su relación con el marco teórico, así como se </w:t>
      </w:r>
      <w:r w:rsidR="00026325">
        <w:rPr>
          <w:lang w:val="es-CL"/>
        </w:rPr>
        <w:t>determinará si la hipótesis es correcta. Por último, se presentarán las conclusiones, donde se har</w:t>
      </w:r>
      <w:r w:rsidR="005E56E7">
        <w:rPr>
          <w:lang w:val="es-CL"/>
        </w:rPr>
        <w:t xml:space="preserve">á una breve recapitulación de las secciones anteriores y se harán menciones </w:t>
      </w:r>
      <w:r w:rsidR="008B1D48">
        <w:rPr>
          <w:lang w:val="es-CL"/>
        </w:rPr>
        <w:t>adicionales a las presentadas en los resultados, a lo que le seguirá la sección final que contiene la lista de referencias.</w:t>
      </w:r>
    </w:p>
    <w:p w14:paraId="414D9A2F" w14:textId="77777777" w:rsidR="00BF2829" w:rsidRDefault="00BF2829" w:rsidP="00BF2829">
      <w:pPr>
        <w:rPr>
          <w:b/>
          <w:bCs/>
          <w:lang w:val="es-CL"/>
        </w:rPr>
      </w:pPr>
    </w:p>
    <w:p w14:paraId="59DC37F5" w14:textId="4F9DD1A9" w:rsidR="00BF2829" w:rsidRDefault="00BF2829" w:rsidP="00802B50">
      <w:pPr>
        <w:spacing w:line="480" w:lineRule="auto"/>
        <w:jc w:val="both"/>
        <w:rPr>
          <w:lang w:val="es-CL"/>
        </w:rPr>
      </w:pPr>
      <w:r>
        <w:rPr>
          <w:b/>
          <w:bCs/>
          <w:lang w:val="es-CL"/>
        </w:rPr>
        <w:t>2. Marco Teórico</w:t>
      </w:r>
    </w:p>
    <w:p w14:paraId="030CDA4D" w14:textId="45E0EFBD" w:rsidR="00802B50" w:rsidRDefault="00BC17A6" w:rsidP="00802B50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Para el análisis teórico se han utilizado cinco </w:t>
      </w:r>
      <w:r w:rsidR="00F35C25">
        <w:rPr>
          <w:lang w:val="es-CL"/>
        </w:rPr>
        <w:t xml:space="preserve">textos que investigan </w:t>
      </w:r>
      <w:r w:rsidR="00B5790B">
        <w:rPr>
          <w:lang w:val="es-CL"/>
        </w:rPr>
        <w:t xml:space="preserve">la relación de diversos factores (entre ellos la densidad poblacional y otros elementos demográficos) con </w:t>
      </w:r>
      <w:r w:rsidR="00E479EE">
        <w:rPr>
          <w:lang w:val="es-CL"/>
        </w:rPr>
        <w:t xml:space="preserve">los índices de criminalidad </w:t>
      </w:r>
      <w:r w:rsidR="008019CB">
        <w:rPr>
          <w:lang w:val="es-CL"/>
        </w:rPr>
        <w:t>en distintos países, esto a nivel local y nacional.</w:t>
      </w:r>
      <w:r w:rsidR="00E30BB5">
        <w:rPr>
          <w:lang w:val="es-CL"/>
        </w:rPr>
        <w:t xml:space="preserve"> Esta investigación se enfoca en las menciones a homicidios y densidad poblacional </w:t>
      </w:r>
      <w:r w:rsidR="00E00B5A">
        <w:rPr>
          <w:lang w:val="es-CL"/>
        </w:rPr>
        <w:t xml:space="preserve">de </w:t>
      </w:r>
      <w:r w:rsidR="00E30BB5">
        <w:rPr>
          <w:lang w:val="es-CL"/>
        </w:rPr>
        <w:t>cada texto</w:t>
      </w:r>
      <w:r w:rsidR="008A4E79">
        <w:rPr>
          <w:lang w:val="es-CL"/>
        </w:rPr>
        <w:t xml:space="preserve"> y la conclusión que presentan los respectivos autores sobre la relación entre estas variables.</w:t>
      </w:r>
    </w:p>
    <w:p w14:paraId="41F1D143" w14:textId="79BB3797" w:rsidR="008019CB" w:rsidRDefault="008C6D4E" w:rsidP="00802B50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En el </w:t>
      </w:r>
      <w:r w:rsidRPr="00A514C7">
        <w:rPr>
          <w:b/>
          <w:bCs/>
          <w:lang w:val="es-CL"/>
        </w:rPr>
        <w:t>primer texto</w:t>
      </w:r>
      <w:r>
        <w:rPr>
          <w:lang w:val="es-CL"/>
        </w:rPr>
        <w:t xml:space="preserve">, se </w:t>
      </w:r>
      <w:r w:rsidR="003C6942">
        <w:rPr>
          <w:lang w:val="es-CL"/>
        </w:rPr>
        <w:t xml:space="preserve">discute la relación existente </w:t>
      </w:r>
      <w:r w:rsidR="00FC49FC">
        <w:rPr>
          <w:lang w:val="es-CL"/>
        </w:rPr>
        <w:t>entre el índice de criminalidad, la densidad poblacional y el Índice de Desarrollo Humano (</w:t>
      </w:r>
      <w:r w:rsidR="0063283D">
        <w:rPr>
          <w:lang w:val="es-CL"/>
        </w:rPr>
        <w:t xml:space="preserve">IDH en adelante) en </w:t>
      </w:r>
      <w:r w:rsidR="00CB6CCD">
        <w:rPr>
          <w:lang w:val="es-CL"/>
        </w:rPr>
        <w:t>el</w:t>
      </w:r>
      <w:r w:rsidR="0063283D">
        <w:rPr>
          <w:lang w:val="es-CL"/>
        </w:rPr>
        <w:t xml:space="preserve"> estado de Guanajuato, México </w:t>
      </w:r>
      <w:r w:rsidR="00CB6CCD">
        <w:rPr>
          <w:lang w:val="es-CL"/>
        </w:rPr>
        <w:fldChar w:fldCharType="begin"/>
      </w:r>
      <w:r w:rsidR="00CB6CCD">
        <w:rPr>
          <w:lang w:val="es-CL"/>
        </w:rPr>
        <w:instrText xml:space="preserve"> ADDIN ZOTERO_ITEM CSL_CITATION {"citationID":"MFOFbeLk","properties":{"formattedCitation":"(Vallejo Guti\\uc0\\u233{}rrez &amp; Villegas Barrientos, 2018)","plainCitation":"(Vallejo Gutiérrez &amp; Villegas Barrientos, 2018)","noteIndex":0},"citationItems":[{"id":6,"uris":["http://zotero.org/users/14418682/items/SFE258FZ"],"itemData":{"id":6,"type":"article-journal","container-title":"Acta universitaria","issue":"SPE","page":"57-65","title":"Índice delictivo y su relación con densidad poblacional y el Índice de Desarrollo Humano en el Estado de Guanajuato","volume":"28","author":[{"family":"Vallejo Gutiérrez","given":"J. R"},{"family":"Villegas Barrientos","given":"N. I"}],"issued":{"date-parts":[["2018"]]}}}],"schema":"https://github.com/citation-style-language/schema/raw/master/csl-citation.json"} </w:instrText>
      </w:r>
      <w:r w:rsidR="00CB6CCD">
        <w:rPr>
          <w:lang w:val="es-CL"/>
        </w:rPr>
        <w:fldChar w:fldCharType="separate"/>
      </w:r>
      <w:r w:rsidR="00CB6CCD" w:rsidRPr="00CB6CCD">
        <w:rPr>
          <w:lang w:val="es-CL"/>
        </w:rPr>
        <w:t>(Vallejo Gutiérrez &amp; Villegas Barrientos, 2018)</w:t>
      </w:r>
      <w:r w:rsidR="00CB6CCD">
        <w:rPr>
          <w:lang w:val="es-CL"/>
        </w:rPr>
        <w:fldChar w:fldCharType="end"/>
      </w:r>
      <w:r w:rsidR="00CB6CCD">
        <w:rPr>
          <w:lang w:val="es-CL"/>
        </w:rPr>
        <w:t>.</w:t>
      </w:r>
    </w:p>
    <w:p w14:paraId="15463FC9" w14:textId="77AA7D14" w:rsidR="00CB6CCD" w:rsidRDefault="00EA4BED" w:rsidP="00802B50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Como ya fue mencionado, </w:t>
      </w:r>
      <w:r w:rsidR="00137BF6">
        <w:rPr>
          <w:lang w:val="es-CL"/>
        </w:rPr>
        <w:t>la investigación de Vallejo y Villegas es centrada en Guanajuato, uno d</w:t>
      </w:r>
      <w:r w:rsidR="00EB2758">
        <w:rPr>
          <w:lang w:val="es-CL"/>
        </w:rPr>
        <w:t>e los estados más marginales de México. Presenta</w:t>
      </w:r>
      <w:r w:rsidR="00783A41">
        <w:rPr>
          <w:lang w:val="es-CL"/>
        </w:rPr>
        <w:t xml:space="preserve"> los</w:t>
      </w:r>
      <w:r w:rsidR="00EB2758">
        <w:rPr>
          <w:lang w:val="es-CL"/>
        </w:rPr>
        <w:t xml:space="preserve"> índices </w:t>
      </w:r>
      <w:r w:rsidR="00783A41">
        <w:rPr>
          <w:lang w:val="es-CL"/>
        </w:rPr>
        <w:t xml:space="preserve">más elevados </w:t>
      </w:r>
      <w:r w:rsidR="005E650A">
        <w:rPr>
          <w:lang w:val="es-CL"/>
        </w:rPr>
        <w:t>de analfabetismo, robos con violencia, homicidio y pobreza</w:t>
      </w:r>
      <w:r w:rsidR="00783A41">
        <w:rPr>
          <w:lang w:val="es-CL"/>
        </w:rPr>
        <w:t xml:space="preserve"> de todo el país.</w:t>
      </w:r>
    </w:p>
    <w:p w14:paraId="0145C043" w14:textId="3F6BBB19" w:rsidR="00F4648A" w:rsidRDefault="00F4648A" w:rsidP="00802B50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El análisis a la literatura de los autores plantea que los índices delictuales se deben principalmente a: </w:t>
      </w:r>
      <w:r w:rsidR="00A743D5">
        <w:rPr>
          <w:lang w:val="es-CL"/>
        </w:rPr>
        <w:t xml:space="preserve">nivel de ingresos, nivel de educación, diferencias salariales y desempleo. </w:t>
      </w:r>
    </w:p>
    <w:p w14:paraId="67652EF4" w14:textId="4F439973" w:rsidR="00BF2829" w:rsidRDefault="00A743D5" w:rsidP="00A743D5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Esto lo relacionan </w:t>
      </w:r>
      <w:r w:rsidR="00C15D07">
        <w:rPr>
          <w:lang w:val="es-CL"/>
        </w:rPr>
        <w:t>con el Modelo de Elección Criminal de Gary Becker</w:t>
      </w:r>
      <w:r w:rsidR="00991774">
        <w:rPr>
          <w:lang w:val="es-CL"/>
        </w:rPr>
        <w:t xml:space="preserve"> (1968)</w:t>
      </w:r>
      <w:r w:rsidR="00C15D07">
        <w:rPr>
          <w:lang w:val="es-CL"/>
        </w:rPr>
        <w:t>, quien p</w:t>
      </w:r>
      <w:r w:rsidR="004D460B">
        <w:rPr>
          <w:lang w:val="es-CL"/>
        </w:rPr>
        <w:t xml:space="preserve">ropone como factores relevantes el costo vs el beneficio </w:t>
      </w:r>
      <w:r w:rsidR="005D4C7F">
        <w:rPr>
          <w:lang w:val="es-CL"/>
        </w:rPr>
        <w:t>de delinquir y que esto influirá dependiendo del contexto del individuo</w:t>
      </w:r>
      <w:r w:rsidR="00487150">
        <w:rPr>
          <w:lang w:val="es-CL"/>
        </w:rPr>
        <w:t>.</w:t>
      </w:r>
    </w:p>
    <w:p w14:paraId="18BBE0F9" w14:textId="443F502E" w:rsidR="006C66D8" w:rsidRDefault="009E570A" w:rsidP="00A743D5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Se expone la teoría </w:t>
      </w:r>
      <w:r w:rsidR="00344F17">
        <w:rPr>
          <w:lang w:val="es-CL"/>
        </w:rPr>
        <w:t xml:space="preserve">que indica que, a mayor </w:t>
      </w:r>
      <w:r w:rsidR="00954877">
        <w:rPr>
          <w:lang w:val="es-CL"/>
        </w:rPr>
        <w:t xml:space="preserve">nivel educacional, mayores son las oportunidades del individuo de conseguir un empleo con alta remuneración, por lo tanto, </w:t>
      </w:r>
      <w:r w:rsidR="009320F4">
        <w:rPr>
          <w:lang w:val="es-CL"/>
        </w:rPr>
        <w:t>el crimen disminuye, esto es corroborado por los autores con los altos índices de criminalidad juvenil de México.</w:t>
      </w:r>
      <w:r w:rsidR="00383477">
        <w:rPr>
          <w:lang w:val="es-CL"/>
        </w:rPr>
        <w:t xml:space="preserve"> </w:t>
      </w:r>
    </w:p>
    <w:p w14:paraId="15C88BCE" w14:textId="2336D636" w:rsidR="009320F4" w:rsidRDefault="000D5FD3" w:rsidP="00A743D5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Por último, se menciona la relación entre criminalidad e ingresos económicos, donde se concluye que un individuo con bajos ingresos </w:t>
      </w:r>
      <w:r w:rsidR="001F2665">
        <w:rPr>
          <w:lang w:val="es-CL"/>
        </w:rPr>
        <w:t xml:space="preserve">es más propenso a delinquir, pues no corre </w:t>
      </w:r>
      <w:r w:rsidR="001F2665">
        <w:rPr>
          <w:lang w:val="es-CL"/>
        </w:rPr>
        <w:lastRenderedPageBreak/>
        <w:t>el riesgo de perder grandes sumas de dinero en el proceso.</w:t>
      </w:r>
      <w:r w:rsidR="00383477">
        <w:rPr>
          <w:lang w:val="es-CL"/>
        </w:rPr>
        <w:t xml:space="preserve"> Aquí </w:t>
      </w:r>
      <w:r w:rsidR="00223C07">
        <w:rPr>
          <w:lang w:val="es-CL"/>
        </w:rPr>
        <w:t xml:space="preserve">se da nuevamente la relación costo vs beneficio, pues mientras mayores son los ingresos del individuo, mayor es el riesgo de perder grandes sumas de dinero, es decir, hay un mayor costo y un menor beneficio, lo que explicaría la conducta de las personas </w:t>
      </w:r>
      <w:r w:rsidR="00973671">
        <w:rPr>
          <w:lang w:val="es-CL"/>
        </w:rPr>
        <w:t>con el modelo de Becker.</w:t>
      </w:r>
      <w:r w:rsidR="00223C07">
        <w:rPr>
          <w:lang w:val="es-CL"/>
        </w:rPr>
        <w:t xml:space="preserve"> </w:t>
      </w:r>
    </w:p>
    <w:p w14:paraId="1002740E" w14:textId="225BE44F" w:rsidR="001F2665" w:rsidRDefault="001F2665" w:rsidP="00A743D5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Finalmente, los autores demuestran que en algunos municipios de la ciudad influye fuertemente la densidad poblacional con el número de homicidios. De igual forma, destacan como </w:t>
      </w:r>
      <w:r w:rsidR="00D44F24">
        <w:rPr>
          <w:lang w:val="es-CL"/>
        </w:rPr>
        <w:t xml:space="preserve">factor relevante el IDH, correspondiente a la educación, salud e ingresos, aunque estos tienen mayor influencia en delitos de menor gravedad. </w:t>
      </w:r>
    </w:p>
    <w:p w14:paraId="09BF1ECD" w14:textId="6E53D505" w:rsidR="00D44F24" w:rsidRDefault="00D44F24" w:rsidP="00A743D5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En el </w:t>
      </w:r>
      <w:r w:rsidRPr="00D44F24">
        <w:rPr>
          <w:b/>
          <w:bCs/>
          <w:lang w:val="es-CL"/>
        </w:rPr>
        <w:t>segundo texto</w:t>
      </w:r>
      <w:r w:rsidR="005F7CD8">
        <w:rPr>
          <w:lang w:val="es-CL"/>
        </w:rPr>
        <w:t xml:space="preserve"> se investiga la delincuencia y la criminalidad en base a la revisión de múltiples</w:t>
      </w:r>
      <w:r w:rsidR="007B2448">
        <w:rPr>
          <w:lang w:val="es-CL"/>
        </w:rPr>
        <w:t xml:space="preserve"> estudios</w:t>
      </w:r>
      <w:r w:rsidR="005F7CD8">
        <w:rPr>
          <w:lang w:val="es-CL"/>
        </w:rPr>
        <w:t xml:space="preserve"> </w:t>
      </w:r>
      <w:r w:rsidR="00714D2A">
        <w:rPr>
          <w:lang w:val="es-CL"/>
        </w:rPr>
        <w:fldChar w:fldCharType="begin"/>
      </w:r>
      <w:r w:rsidR="00875EC2">
        <w:rPr>
          <w:lang w:val="es-CL"/>
        </w:rPr>
        <w:instrText xml:space="preserve"> ADDIN ZOTERO_ITEM CSL_CITATION {"citationID":"BgKjdOuj","properties":{"formattedCitation":"(Sandoval &amp; Bar\\uc0\\u243{}n, 2008)","plainCitation":"(Sandoval &amp; Barón, 2008)","noteIndex":0},"citationItems":[{"id":4,"uris":["http://zotero.org/users/14418682/items/DWB4TM6E"],"itemData":{"id":4,"type":"article-journal","container-title":"Revista académica","page":"105-117","title":"UNA REVISIÓN AL ESTUDIO DE LA DELINCUENCIA Y CRIMINALIDAD","volume":"16","author":[{"family":"Sandoval","given":"L. E"},{"family":"Barón","given":"D. M"}],"issued":{"date-parts":[["2008"]]}}}],"schema":"https://github.com/citation-style-language/schema/raw/master/csl-citation.json"} </w:instrText>
      </w:r>
      <w:r w:rsidR="00714D2A">
        <w:rPr>
          <w:lang w:val="es-CL"/>
        </w:rPr>
        <w:fldChar w:fldCharType="separate"/>
      </w:r>
      <w:r w:rsidR="00875EC2" w:rsidRPr="00875EC2">
        <w:rPr>
          <w:lang w:val="es-CL"/>
        </w:rPr>
        <w:t>(Sandoval &amp; Barón, 2008)</w:t>
      </w:r>
      <w:r w:rsidR="00714D2A">
        <w:rPr>
          <w:lang w:val="es-CL"/>
        </w:rPr>
        <w:fldChar w:fldCharType="end"/>
      </w:r>
      <w:r w:rsidR="00743D74">
        <w:rPr>
          <w:lang w:val="es-CL"/>
        </w:rPr>
        <w:t>.</w:t>
      </w:r>
    </w:p>
    <w:p w14:paraId="1D1A7CCB" w14:textId="77777777" w:rsidR="004F4A4D" w:rsidRDefault="00260135" w:rsidP="00A743D5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La primera teoría indica que el principal factor de riesgo </w:t>
      </w:r>
      <w:r w:rsidR="004F4A4D">
        <w:rPr>
          <w:lang w:val="es-CL"/>
        </w:rPr>
        <w:t>sería el autocontrol del individuo.</w:t>
      </w:r>
    </w:p>
    <w:p w14:paraId="7084B801" w14:textId="0E65F920" w:rsidR="00743D74" w:rsidRDefault="00025C83" w:rsidP="00A743D5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Entre todas las teorías, se destaca la relación que tendría </w:t>
      </w:r>
      <w:r w:rsidR="000915AA">
        <w:rPr>
          <w:lang w:val="es-CL"/>
        </w:rPr>
        <w:t xml:space="preserve">el uso de drogas con la potencialidad de cometer crímenes. Esto </w:t>
      </w:r>
      <w:r w:rsidR="00621D2F">
        <w:rPr>
          <w:lang w:val="es-CL"/>
        </w:rPr>
        <w:t xml:space="preserve">se conecta con posturas de otros autores que </w:t>
      </w:r>
      <w:r w:rsidR="00037961">
        <w:rPr>
          <w:lang w:val="es-CL"/>
        </w:rPr>
        <w:t xml:space="preserve">plantean </w:t>
      </w:r>
      <w:r w:rsidR="008B446C">
        <w:rPr>
          <w:lang w:val="es-CL"/>
        </w:rPr>
        <w:t>que las vivencias de la infancia (tal como abusos y crecer en entornos precarios)</w:t>
      </w:r>
      <w:r w:rsidR="00502E1A">
        <w:rPr>
          <w:lang w:val="es-CL"/>
        </w:rPr>
        <w:t>,</w:t>
      </w:r>
      <w:r w:rsidR="00C66EC3">
        <w:rPr>
          <w:lang w:val="es-CL"/>
        </w:rPr>
        <w:t xml:space="preserve"> el desempleo</w:t>
      </w:r>
      <w:r w:rsidR="00502E1A">
        <w:rPr>
          <w:lang w:val="es-CL"/>
        </w:rPr>
        <w:t xml:space="preserve"> y la falta de vivienda</w:t>
      </w:r>
      <w:r w:rsidR="008B446C">
        <w:rPr>
          <w:lang w:val="es-CL"/>
        </w:rPr>
        <w:t xml:space="preserve"> propiciarían el uso de drogas, lo que conduce nuevamente al ingreso al mundo delictual.</w:t>
      </w:r>
    </w:p>
    <w:p w14:paraId="69983F2E" w14:textId="7C6DF107" w:rsidR="004F4A4D" w:rsidRDefault="004F4A4D" w:rsidP="00A743D5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Todo esto tendría relación con la primera teoría relacionada con el autocontrol, </w:t>
      </w:r>
      <w:r w:rsidR="00543AF2">
        <w:rPr>
          <w:lang w:val="es-CL"/>
        </w:rPr>
        <w:t xml:space="preserve">pues un individuo con </w:t>
      </w:r>
      <w:r w:rsidR="00E36D25">
        <w:rPr>
          <w:lang w:val="es-CL"/>
        </w:rPr>
        <w:t>poco autocontrol sería más propenso al consumo de drogas, lo que puede llevarlo al desempleo y a la falta de vivienda, que</w:t>
      </w:r>
      <w:r w:rsidR="004E68A8">
        <w:rPr>
          <w:lang w:val="es-CL"/>
        </w:rPr>
        <w:t xml:space="preserve">, en última instancia, lo volvería más propenso a </w:t>
      </w:r>
      <w:r w:rsidR="00E800C5">
        <w:rPr>
          <w:lang w:val="es-CL"/>
        </w:rPr>
        <w:t xml:space="preserve">cometer crímenes. </w:t>
      </w:r>
    </w:p>
    <w:p w14:paraId="794B9B70" w14:textId="39B43093" w:rsidR="000578CB" w:rsidRDefault="000578CB" w:rsidP="00A743D5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Adicionalmente, se sugiriere que un factor </w:t>
      </w:r>
      <w:r w:rsidR="006146EB">
        <w:rPr>
          <w:lang w:val="es-CL"/>
        </w:rPr>
        <w:t>decisivo en la inserción al</w:t>
      </w:r>
      <w:r w:rsidR="008A45AE">
        <w:rPr>
          <w:lang w:val="es-CL"/>
        </w:rPr>
        <w:t xml:space="preserve"> crimen sería la edad, específicamente desde los 10 años en adelante. </w:t>
      </w:r>
    </w:p>
    <w:p w14:paraId="1D244C17" w14:textId="09FDC75A" w:rsidR="00975DD5" w:rsidRDefault="00975DD5" w:rsidP="00A743D5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Finalmente, se menciona la densidad poblacional como un factor que incentiva el crimen, esto debido a que se genera más proximidad con </w:t>
      </w:r>
      <w:r w:rsidR="002E6105">
        <w:rPr>
          <w:lang w:val="es-CL"/>
        </w:rPr>
        <w:t>bares y ambientes que propician los delitos</w:t>
      </w:r>
      <w:r w:rsidR="00E17BFB">
        <w:rPr>
          <w:lang w:val="es-CL"/>
        </w:rPr>
        <w:t>.</w:t>
      </w:r>
      <w:r w:rsidR="003849E6">
        <w:rPr>
          <w:lang w:val="es-CL"/>
        </w:rPr>
        <w:t xml:space="preserve"> Sandov</w:t>
      </w:r>
      <w:r w:rsidR="00875EC2">
        <w:rPr>
          <w:lang w:val="es-CL"/>
        </w:rPr>
        <w:t>a</w:t>
      </w:r>
      <w:r w:rsidR="003849E6">
        <w:rPr>
          <w:lang w:val="es-CL"/>
        </w:rPr>
        <w:t xml:space="preserve">l y Barón </w:t>
      </w:r>
      <w:r w:rsidR="0021569B">
        <w:rPr>
          <w:lang w:val="es-CL"/>
        </w:rPr>
        <w:t>aseguran</w:t>
      </w:r>
      <w:r w:rsidR="002E6105">
        <w:rPr>
          <w:lang w:val="es-CL"/>
        </w:rPr>
        <w:t xml:space="preserve">: </w:t>
      </w:r>
      <w:r w:rsidR="003849E6">
        <w:rPr>
          <w:lang w:val="es-MX"/>
        </w:rPr>
        <w:t>“</w:t>
      </w:r>
      <w:r w:rsidR="003849E6" w:rsidRPr="003849E6">
        <w:rPr>
          <w:lang w:val="es-CL"/>
        </w:rPr>
        <w:t xml:space="preserve">Las características espaciales suelen tener gran </w:t>
      </w:r>
      <w:r w:rsidR="003849E6" w:rsidRPr="003849E6">
        <w:rPr>
          <w:lang w:val="es-CL"/>
        </w:rPr>
        <w:lastRenderedPageBreak/>
        <w:t xml:space="preserve">influencia en el comportamiento criminal </w:t>
      </w:r>
      <w:r w:rsidR="009344F8">
        <w:rPr>
          <w:lang w:val="es-CL"/>
        </w:rPr>
        <w:t xml:space="preserve">(…) </w:t>
      </w:r>
      <w:r w:rsidR="003849E6" w:rsidRPr="003849E6">
        <w:rPr>
          <w:lang w:val="es-CL"/>
        </w:rPr>
        <w:t>de un individuo. La proximidad del lugar donde se vive a un vecindario con problemas de seguridad, de drogas, con gran número de bares, son variables que pueden ser significativas en el momento de adquirir una conducta delincuencial”</w:t>
      </w:r>
      <w:r w:rsidR="003849E6">
        <w:rPr>
          <w:lang w:val="es-CL"/>
        </w:rPr>
        <w:t>.</w:t>
      </w:r>
    </w:p>
    <w:p w14:paraId="50F466DA" w14:textId="49535797" w:rsidR="00376D1C" w:rsidRDefault="00376D1C" w:rsidP="00A743D5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Por lo tanto, lo decisivo de la densidad poblacional, en este estudio, sería que una mayor densidad implica que hay más proximidad o roce con ambientes que se relacionan con el delito, por lo que el individuo es más propenso a </w:t>
      </w:r>
      <w:r w:rsidR="00754AFB">
        <w:rPr>
          <w:lang w:val="es-CL"/>
        </w:rPr>
        <w:t>presentar conductas criminales por su contexto espacial.</w:t>
      </w:r>
    </w:p>
    <w:p w14:paraId="0375DD93" w14:textId="19207BC5" w:rsidR="009344F8" w:rsidRDefault="009344F8" w:rsidP="00A743D5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En el </w:t>
      </w:r>
      <w:r w:rsidRPr="009344F8">
        <w:rPr>
          <w:b/>
          <w:bCs/>
          <w:lang w:val="es-CL"/>
        </w:rPr>
        <w:t>tercer texto</w:t>
      </w:r>
      <w:r w:rsidR="009769B5">
        <w:rPr>
          <w:lang w:val="es-CL"/>
        </w:rPr>
        <w:t xml:space="preserve">, focalizado en Chile, </w:t>
      </w:r>
      <w:r w:rsidR="004F1D79">
        <w:rPr>
          <w:lang w:val="es-CL"/>
        </w:rPr>
        <w:t>se busca determinar las causas soci</w:t>
      </w:r>
      <w:r w:rsidR="00195DF7">
        <w:rPr>
          <w:lang w:val="es-CL"/>
        </w:rPr>
        <w:t xml:space="preserve">al, económicas y demográficas del crimen en el país </w:t>
      </w:r>
      <w:r w:rsidR="00846CB7">
        <w:rPr>
          <w:lang w:val="es-CL"/>
        </w:rPr>
        <w:fldChar w:fldCharType="begin"/>
      </w:r>
      <w:r w:rsidR="00CB0DDA">
        <w:rPr>
          <w:lang w:val="es-CL"/>
        </w:rPr>
        <w:instrText xml:space="preserve"> ADDIN ZOTERO_ITEM CSL_CITATION {"citationID":"ODQvek5M","properties":{"formattedCitation":"(N\\uc0\\u250{}\\uc0\\u241{}ez et\\uc0\\u160{}al., 2003)","plainCitation":"(Núñez et al., 2003)","noteIndex":0},"citationItems":[{"id":3,"uris":["http://zotero.org/users/14418682/items/K4DTJ9UY"],"itemData":{"id":3,"type":"article-journal","container-title":"Revista académica","page":"55-85","title":"DETERMINANTES SOCIOECONOMICOS Y DEMOGRAFICOS DEL CRIMEN EN CHILE EVIDENCIA DESDE UN PANEL DE DATOS DE LAS REGIONES CHILENAS","volume":"30","author":[{"family":"Núñez","given":"J."},{"family":"Rivera","given":"J."},{"family":"Villavicencio","given":"X."},{"family":"Molina","given":"O."}],"issued":{"date-parts":[["2003"]]}}}],"schema":"https://github.com/citation-style-language/schema/raw/master/csl-citation.json"} </w:instrText>
      </w:r>
      <w:r w:rsidR="00846CB7">
        <w:rPr>
          <w:lang w:val="es-CL"/>
        </w:rPr>
        <w:fldChar w:fldCharType="separate"/>
      </w:r>
      <w:r w:rsidR="00CB0DDA" w:rsidRPr="00CB0DDA">
        <w:rPr>
          <w:lang w:val="es-CL"/>
        </w:rPr>
        <w:t>(Núñez et al., 2003)</w:t>
      </w:r>
      <w:r w:rsidR="00846CB7">
        <w:rPr>
          <w:lang w:val="es-CL"/>
        </w:rPr>
        <w:fldChar w:fldCharType="end"/>
      </w:r>
      <w:r w:rsidR="00701C5F">
        <w:rPr>
          <w:lang w:val="es-CL"/>
        </w:rPr>
        <w:t>.</w:t>
      </w:r>
    </w:p>
    <w:p w14:paraId="38477E60" w14:textId="429C31D9" w:rsidR="00701C5F" w:rsidRDefault="00715D86" w:rsidP="00A743D5">
      <w:pPr>
        <w:spacing w:line="480" w:lineRule="auto"/>
        <w:jc w:val="both"/>
        <w:rPr>
          <w:lang w:val="es-CL"/>
        </w:rPr>
      </w:pPr>
      <w:r>
        <w:rPr>
          <w:lang w:val="es-CL"/>
        </w:rPr>
        <w:t>Como variables se utilizan:</w:t>
      </w:r>
    </w:p>
    <w:p w14:paraId="6339ED96" w14:textId="21180EE0" w:rsidR="00715D86" w:rsidRDefault="00715D86" w:rsidP="00715D86">
      <w:pPr>
        <w:pStyle w:val="Prrafodelista"/>
        <w:numPr>
          <w:ilvl w:val="0"/>
          <w:numId w:val="3"/>
        </w:num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Variables demográficas </w:t>
      </w:r>
      <w:r w:rsidR="005F62F6">
        <w:rPr>
          <w:lang w:val="es-CL"/>
        </w:rPr>
        <w:t>(edad de los imputados por delitos).</w:t>
      </w:r>
    </w:p>
    <w:p w14:paraId="0A27A50B" w14:textId="5460F076" w:rsidR="005F62F6" w:rsidRDefault="005F62F6" w:rsidP="00715D86">
      <w:pPr>
        <w:pStyle w:val="Prrafodelista"/>
        <w:numPr>
          <w:ilvl w:val="0"/>
          <w:numId w:val="3"/>
        </w:numPr>
        <w:spacing w:line="480" w:lineRule="auto"/>
        <w:jc w:val="both"/>
        <w:rPr>
          <w:lang w:val="es-CL"/>
        </w:rPr>
      </w:pPr>
      <w:r>
        <w:rPr>
          <w:lang w:val="es-CL"/>
        </w:rPr>
        <w:t>Fuentes y oportunidades de ingreso legal e ilegal.</w:t>
      </w:r>
    </w:p>
    <w:p w14:paraId="61736A21" w14:textId="38ED322B" w:rsidR="005F62F6" w:rsidRDefault="00AD2259" w:rsidP="00715D86">
      <w:pPr>
        <w:pStyle w:val="Prrafodelista"/>
        <w:numPr>
          <w:ilvl w:val="0"/>
          <w:numId w:val="3"/>
        </w:numPr>
        <w:spacing w:line="480" w:lineRule="auto"/>
        <w:jc w:val="both"/>
        <w:rPr>
          <w:lang w:val="es-CL"/>
        </w:rPr>
      </w:pPr>
      <w:r>
        <w:rPr>
          <w:lang w:val="es-CL"/>
        </w:rPr>
        <w:t>Posibilidad de ser capturado (disuasión).</w:t>
      </w:r>
    </w:p>
    <w:p w14:paraId="6DDBD0DB" w14:textId="2DDCBD20" w:rsidR="00AD2259" w:rsidRDefault="00815684" w:rsidP="00715D86">
      <w:pPr>
        <w:pStyle w:val="Prrafodelista"/>
        <w:numPr>
          <w:ilvl w:val="0"/>
          <w:numId w:val="3"/>
        </w:numPr>
        <w:spacing w:line="480" w:lineRule="auto"/>
        <w:jc w:val="both"/>
        <w:rPr>
          <w:lang w:val="es-CL"/>
        </w:rPr>
      </w:pPr>
      <w:r>
        <w:rPr>
          <w:lang w:val="es-CL"/>
        </w:rPr>
        <w:t>Cantidad de crímenes cometidos por tipo de delito.</w:t>
      </w:r>
    </w:p>
    <w:p w14:paraId="071C33BE" w14:textId="403CC3D5" w:rsidR="00815684" w:rsidRDefault="00141FBF" w:rsidP="0066354B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Debido al amplio análisis de cada una de estas variables, </w:t>
      </w:r>
      <w:r w:rsidR="0073538F">
        <w:rPr>
          <w:lang w:val="es-CL"/>
        </w:rPr>
        <w:t>se indicará directamente lo referente a homicidios. En este caso, se concluye que</w:t>
      </w:r>
      <w:r w:rsidR="00F62E6B">
        <w:rPr>
          <w:lang w:val="es-CL"/>
        </w:rPr>
        <w:t xml:space="preserve"> la densidad poblacional tiene una relación negativa con la cantidad de homicidios, por lo que se descarta </w:t>
      </w:r>
      <w:r w:rsidR="005C42CD">
        <w:rPr>
          <w:lang w:val="es-CL"/>
        </w:rPr>
        <w:t>esta variable como un factor relevante para determinar las razones de la criminalidad.</w:t>
      </w:r>
    </w:p>
    <w:p w14:paraId="67CD0751" w14:textId="6D5D25BE" w:rsidR="005C42CD" w:rsidRDefault="005C42CD" w:rsidP="0066354B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En el </w:t>
      </w:r>
      <w:r w:rsidRPr="005C42CD">
        <w:rPr>
          <w:b/>
          <w:bCs/>
          <w:lang w:val="es-CL"/>
        </w:rPr>
        <w:t>cuarto texto</w:t>
      </w:r>
      <w:r>
        <w:rPr>
          <w:lang w:val="es-CL"/>
        </w:rPr>
        <w:t xml:space="preserve"> </w:t>
      </w:r>
      <w:r w:rsidR="00C07D70">
        <w:rPr>
          <w:lang w:val="es-CL"/>
        </w:rPr>
        <w:t xml:space="preserve">se estima la tasa de criminalidad (específicamente delitos de homicidio y hurto) </w:t>
      </w:r>
      <w:r w:rsidR="00BB1808">
        <w:rPr>
          <w:lang w:val="es-CL"/>
        </w:rPr>
        <w:t xml:space="preserve">en Colombia desde 1993 hasta 2013 </w:t>
      </w:r>
      <w:r w:rsidR="00BD0614">
        <w:rPr>
          <w:lang w:val="es-CL"/>
        </w:rPr>
        <w:fldChar w:fldCharType="begin"/>
      </w:r>
      <w:r w:rsidR="00BD0614">
        <w:rPr>
          <w:lang w:val="es-CL"/>
        </w:rPr>
        <w:instrText xml:space="preserve"> ADDIN ZOTERO_ITEM CSL_CITATION {"citationID":"levXo5co","properties":{"formattedCitation":"(Carrillo, 2019)","plainCitation":"(Carrillo, 2019)","noteIndex":0},"citationItems":[{"id":2,"uris":["http://zotero.org/users/14418682/items/BIDHCZSB"],"itemData":{"id":2,"type":"article-journal","container-title":"Revista académica","issue":"24","page":"146-155","title":"Determinantes económicos y sociológicos del crimen en Colombia","volume":"12","author":[{"family":"Carrillo","given":"R."}],"issued":{"date-parts":[["2019"]]}}}],"schema":"https://github.com/citation-style-language/schema/raw/master/csl-citation.json"} </w:instrText>
      </w:r>
      <w:r w:rsidR="00BD0614">
        <w:rPr>
          <w:lang w:val="es-CL"/>
        </w:rPr>
        <w:fldChar w:fldCharType="separate"/>
      </w:r>
      <w:r w:rsidR="00BD0614" w:rsidRPr="00BD0614">
        <w:rPr>
          <w:lang w:val="es-CL"/>
        </w:rPr>
        <w:t>(Carrillo, 2019)</w:t>
      </w:r>
      <w:r w:rsidR="00BD0614">
        <w:rPr>
          <w:lang w:val="es-CL"/>
        </w:rPr>
        <w:fldChar w:fldCharType="end"/>
      </w:r>
      <w:r w:rsidR="00BD0614">
        <w:rPr>
          <w:lang w:val="es-CL"/>
        </w:rPr>
        <w:t>.</w:t>
      </w:r>
    </w:p>
    <w:p w14:paraId="492BB5DA" w14:textId="258E8EB3" w:rsidR="0030295B" w:rsidRDefault="0066042B" w:rsidP="0066354B">
      <w:pPr>
        <w:spacing w:line="480" w:lineRule="auto"/>
        <w:jc w:val="both"/>
        <w:rPr>
          <w:lang w:val="es-CL"/>
        </w:rPr>
      </w:pPr>
      <w:r>
        <w:rPr>
          <w:lang w:val="es-CL"/>
        </w:rPr>
        <w:t>La investigación se guía por el antes mencionado modelo de Gary Becker (1968),</w:t>
      </w:r>
      <w:r w:rsidR="00B73754">
        <w:rPr>
          <w:lang w:val="es-CL"/>
        </w:rPr>
        <w:t xml:space="preserve"> por lo que se enfatiza en </w:t>
      </w:r>
      <w:r w:rsidR="00522C35">
        <w:rPr>
          <w:lang w:val="es-CL"/>
        </w:rPr>
        <w:t xml:space="preserve">las consecuencias de un alto índice de criminalidad en la economía y en factores económicos como </w:t>
      </w:r>
      <w:r w:rsidR="005134FD">
        <w:rPr>
          <w:lang w:val="es-CL"/>
        </w:rPr>
        <w:t>un</w:t>
      </w:r>
      <w:r w:rsidR="001619DA">
        <w:rPr>
          <w:lang w:val="es-CL"/>
        </w:rPr>
        <w:t xml:space="preserve">a variable </w:t>
      </w:r>
      <w:r w:rsidR="005134FD">
        <w:rPr>
          <w:lang w:val="es-CL"/>
        </w:rPr>
        <w:t>relevante la tasa de homicidios y hurto.</w:t>
      </w:r>
    </w:p>
    <w:p w14:paraId="299D3982" w14:textId="2046B4D1" w:rsidR="009E44F2" w:rsidRDefault="009E44F2" w:rsidP="0066354B">
      <w:pPr>
        <w:spacing w:line="480" w:lineRule="auto"/>
        <w:jc w:val="both"/>
        <w:rPr>
          <w:lang w:val="es-CL"/>
        </w:rPr>
      </w:pPr>
      <w:r>
        <w:rPr>
          <w:lang w:val="es-CL"/>
        </w:rPr>
        <w:lastRenderedPageBreak/>
        <w:t xml:space="preserve">Lo más destacado por el autor son las repercusiones económicas en el país, pues asegura que los homicidios son los que más </w:t>
      </w:r>
      <w:r w:rsidR="00B77041">
        <w:rPr>
          <w:lang w:val="es-CL"/>
        </w:rPr>
        <w:t>golpean a la nación.</w:t>
      </w:r>
    </w:p>
    <w:p w14:paraId="4E94F694" w14:textId="3C5CC6A5" w:rsidR="00BF2538" w:rsidRDefault="00BF2538" w:rsidP="0066354B">
      <w:pPr>
        <w:spacing w:line="480" w:lineRule="auto"/>
        <w:jc w:val="both"/>
        <w:rPr>
          <w:lang w:val="es-CL"/>
        </w:rPr>
      </w:pPr>
      <w:r>
        <w:rPr>
          <w:lang w:val="es-CL"/>
        </w:rPr>
        <w:t>Posteriormente se explican de forma teórica las variables</w:t>
      </w:r>
      <w:r w:rsidR="00B53F12">
        <w:rPr>
          <w:lang w:val="es-CL"/>
        </w:rPr>
        <w:t>, que son:</w:t>
      </w:r>
    </w:p>
    <w:p w14:paraId="297A7DE4" w14:textId="7CF0A420" w:rsidR="00B53F12" w:rsidRDefault="00B53F12" w:rsidP="00B53F12">
      <w:pPr>
        <w:pStyle w:val="Prrafodelista"/>
        <w:numPr>
          <w:ilvl w:val="0"/>
          <w:numId w:val="4"/>
        </w:numPr>
        <w:spacing w:line="480" w:lineRule="auto"/>
        <w:jc w:val="both"/>
        <w:rPr>
          <w:lang w:val="es-CL"/>
        </w:rPr>
      </w:pPr>
      <w:r>
        <w:rPr>
          <w:lang w:val="es-CL"/>
        </w:rPr>
        <w:t>Tasa de homicidios cada 100.000 habitantes.</w:t>
      </w:r>
    </w:p>
    <w:p w14:paraId="2F3802E4" w14:textId="5A3865B5" w:rsidR="00B53F12" w:rsidRDefault="00B53F12" w:rsidP="00B53F12">
      <w:pPr>
        <w:pStyle w:val="Prrafodelista"/>
        <w:numPr>
          <w:ilvl w:val="0"/>
          <w:numId w:val="4"/>
        </w:numPr>
        <w:spacing w:line="480" w:lineRule="auto"/>
        <w:jc w:val="both"/>
        <w:rPr>
          <w:lang w:val="es-CL"/>
        </w:rPr>
      </w:pPr>
      <w:r>
        <w:rPr>
          <w:lang w:val="es-CL"/>
        </w:rPr>
        <w:t>Tasa de hurto cada 100.000 habitantes</w:t>
      </w:r>
      <w:r w:rsidR="008A65F9">
        <w:rPr>
          <w:lang w:val="es-CL"/>
        </w:rPr>
        <w:t>.</w:t>
      </w:r>
    </w:p>
    <w:p w14:paraId="3FC1697D" w14:textId="1856DE57" w:rsidR="008A65F9" w:rsidRDefault="008A65F9" w:rsidP="00B53F12">
      <w:pPr>
        <w:pStyle w:val="Prrafodelista"/>
        <w:numPr>
          <w:ilvl w:val="0"/>
          <w:numId w:val="4"/>
        </w:numPr>
        <w:spacing w:line="480" w:lineRule="auto"/>
        <w:jc w:val="both"/>
        <w:rPr>
          <w:lang w:val="es-CL"/>
        </w:rPr>
      </w:pPr>
      <w:r>
        <w:rPr>
          <w:lang w:val="es-CL"/>
        </w:rPr>
        <w:t>Densidad poblacional.</w:t>
      </w:r>
    </w:p>
    <w:p w14:paraId="287D4CAE" w14:textId="6C4CF1BB" w:rsidR="008A65F9" w:rsidRDefault="008A65F9" w:rsidP="00B53F12">
      <w:pPr>
        <w:pStyle w:val="Prrafodelista"/>
        <w:numPr>
          <w:ilvl w:val="0"/>
          <w:numId w:val="4"/>
        </w:numPr>
        <w:spacing w:line="480" w:lineRule="auto"/>
        <w:jc w:val="both"/>
        <w:rPr>
          <w:lang w:val="es-CL"/>
        </w:rPr>
      </w:pPr>
      <w:r>
        <w:rPr>
          <w:lang w:val="es-CL"/>
        </w:rPr>
        <w:t>Cobertura escolar.</w:t>
      </w:r>
    </w:p>
    <w:p w14:paraId="3190215D" w14:textId="5CC286B7" w:rsidR="008A65F9" w:rsidRDefault="00D67056" w:rsidP="00B53F12">
      <w:pPr>
        <w:pStyle w:val="Prrafodelista"/>
        <w:numPr>
          <w:ilvl w:val="0"/>
          <w:numId w:val="4"/>
        </w:numPr>
        <w:spacing w:line="480" w:lineRule="auto"/>
        <w:jc w:val="both"/>
        <w:rPr>
          <w:lang w:val="es-CL"/>
        </w:rPr>
      </w:pPr>
      <w:r>
        <w:rPr>
          <w:lang w:val="es-CL"/>
        </w:rPr>
        <w:t>Necesidades básicas insatisfechas.</w:t>
      </w:r>
    </w:p>
    <w:p w14:paraId="11F92F1B" w14:textId="4870081F" w:rsidR="00D67056" w:rsidRDefault="00D67056" w:rsidP="00D67056">
      <w:pPr>
        <w:pStyle w:val="Prrafodelista"/>
        <w:numPr>
          <w:ilvl w:val="0"/>
          <w:numId w:val="4"/>
        </w:numPr>
        <w:spacing w:line="480" w:lineRule="auto"/>
        <w:jc w:val="both"/>
        <w:rPr>
          <w:lang w:val="es-CL"/>
        </w:rPr>
      </w:pPr>
      <w:r>
        <w:rPr>
          <w:lang w:val="es-CL"/>
        </w:rPr>
        <w:t>Tasa de desempleo.</w:t>
      </w:r>
    </w:p>
    <w:p w14:paraId="155836D0" w14:textId="571D3EEB" w:rsidR="00D67056" w:rsidRDefault="00961A8A" w:rsidP="00D67056">
      <w:pPr>
        <w:pStyle w:val="Prrafodelista"/>
        <w:numPr>
          <w:ilvl w:val="0"/>
          <w:numId w:val="4"/>
        </w:numPr>
        <w:spacing w:line="480" w:lineRule="auto"/>
        <w:jc w:val="both"/>
        <w:rPr>
          <w:lang w:val="es-CL"/>
        </w:rPr>
      </w:pPr>
      <w:r>
        <w:rPr>
          <w:lang w:val="es-CL"/>
        </w:rPr>
        <w:t>Tasa de eficiencia de la policía.</w:t>
      </w:r>
    </w:p>
    <w:p w14:paraId="60DE60FF" w14:textId="77777777" w:rsidR="002B75EE" w:rsidRDefault="00961A8A" w:rsidP="0066354B">
      <w:pPr>
        <w:pStyle w:val="Prrafodelista"/>
        <w:numPr>
          <w:ilvl w:val="0"/>
          <w:numId w:val="4"/>
        </w:numPr>
        <w:spacing w:line="480" w:lineRule="auto"/>
        <w:jc w:val="both"/>
        <w:rPr>
          <w:lang w:val="es-CL"/>
        </w:rPr>
      </w:pPr>
      <w:r>
        <w:rPr>
          <w:lang w:val="es-CL"/>
        </w:rPr>
        <w:t>Coeficiente de Gini (</w:t>
      </w:r>
      <w:r w:rsidR="002B75EE">
        <w:rPr>
          <w:lang w:val="es-CL"/>
        </w:rPr>
        <w:t>medidor del grado de ingresos).</w:t>
      </w:r>
    </w:p>
    <w:p w14:paraId="6494CF45" w14:textId="49D75815" w:rsidR="005134FD" w:rsidRPr="002B75EE" w:rsidRDefault="002B75EE" w:rsidP="002B75EE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Respecto a la densidad poblacional, </w:t>
      </w:r>
      <w:r w:rsidR="00D84D8F" w:rsidRPr="002B75EE">
        <w:rPr>
          <w:lang w:val="es-CL"/>
        </w:rPr>
        <w:t>Carrillo (2019)</w:t>
      </w:r>
      <w:r>
        <w:rPr>
          <w:lang w:val="es-CL"/>
        </w:rPr>
        <w:t xml:space="preserve"> indica</w:t>
      </w:r>
      <w:r w:rsidR="00D84D8F" w:rsidRPr="002B75EE">
        <w:rPr>
          <w:lang w:val="es-CL"/>
        </w:rPr>
        <w:t xml:space="preserve">: </w:t>
      </w:r>
      <w:r w:rsidR="007E59D8" w:rsidRPr="002B75EE">
        <w:rPr>
          <w:lang w:val="es-CL"/>
        </w:rPr>
        <w:t>“</w:t>
      </w:r>
      <w:proofErr w:type="gramStart"/>
      <w:r w:rsidR="007E59D8" w:rsidRPr="002B75EE">
        <w:rPr>
          <w:lang w:val="es-CL"/>
        </w:rPr>
        <w:t>De acuerdo al</w:t>
      </w:r>
      <w:proofErr w:type="gramEnd"/>
      <w:r w:rsidR="007E59D8" w:rsidRPr="002B75EE">
        <w:rPr>
          <w:lang w:val="es-CL"/>
        </w:rPr>
        <w:t xml:space="preserve"> modelo teórico la concentración de la población en espacios geográficos incrementa la probabilidad de las personas de asociarse para delinquir (…).”</w:t>
      </w:r>
    </w:p>
    <w:p w14:paraId="5CD4D8BB" w14:textId="6A79B162" w:rsidR="00BD0614" w:rsidRDefault="00F529FF" w:rsidP="0066354B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Se determina que todas las variables </w:t>
      </w:r>
      <w:r w:rsidR="00591230">
        <w:rPr>
          <w:lang w:val="es-CL"/>
        </w:rPr>
        <w:t xml:space="preserve">(a excepción del Coeficiente de Gini) tienen una relación positiva con la tasa de homicidios. </w:t>
      </w:r>
      <w:r w:rsidR="00460EE2">
        <w:rPr>
          <w:lang w:val="es-CL"/>
        </w:rPr>
        <w:t>La densidad poblacional, en específico,</w:t>
      </w:r>
      <w:r w:rsidR="000577E6">
        <w:rPr>
          <w:lang w:val="es-CL"/>
        </w:rPr>
        <w:t xml:space="preserve"> es más influyente en delitos de hurto, pero sigue siendo un factor </w:t>
      </w:r>
      <w:r w:rsidR="004E3864">
        <w:rPr>
          <w:lang w:val="es-CL"/>
        </w:rPr>
        <w:t xml:space="preserve">relevante en la tasa de homicidios, pues se continúa asociando </w:t>
      </w:r>
      <w:r w:rsidR="00C422EB">
        <w:rPr>
          <w:lang w:val="es-CL"/>
        </w:rPr>
        <w:t>una mayor concentración urbana con un mayor número de delitos.</w:t>
      </w:r>
    </w:p>
    <w:p w14:paraId="5A7B97DD" w14:textId="02F49166" w:rsidR="00B77041" w:rsidRDefault="00B77041" w:rsidP="0066354B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Por último, el autor recalca </w:t>
      </w:r>
      <w:r w:rsidR="00F011C5">
        <w:rPr>
          <w:lang w:val="es-CL"/>
        </w:rPr>
        <w:t xml:space="preserve">que, si bien para el Estado tomar medidas contra los homicidios puede ser un “despilfarro” de dinero, </w:t>
      </w:r>
      <w:r w:rsidR="005A295D">
        <w:rPr>
          <w:lang w:val="es-CL"/>
        </w:rPr>
        <w:t>es algo necesario y que debe ser analizado con mayor profundidad.</w:t>
      </w:r>
    </w:p>
    <w:p w14:paraId="0C6DEA8D" w14:textId="66F2D0EB" w:rsidR="00C422EB" w:rsidRDefault="00C422EB" w:rsidP="0066354B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El </w:t>
      </w:r>
      <w:r w:rsidRPr="00724E24">
        <w:rPr>
          <w:b/>
          <w:bCs/>
          <w:lang w:val="es-CL"/>
        </w:rPr>
        <w:t>quinto texto</w:t>
      </w:r>
      <w:r>
        <w:rPr>
          <w:lang w:val="es-CL"/>
        </w:rPr>
        <w:t xml:space="preserve"> </w:t>
      </w:r>
      <w:r w:rsidR="00D67DF1">
        <w:rPr>
          <w:lang w:val="es-CL"/>
        </w:rPr>
        <w:t xml:space="preserve">busca conocer </w:t>
      </w:r>
      <w:r w:rsidR="00170870">
        <w:rPr>
          <w:lang w:val="es-CL"/>
        </w:rPr>
        <w:t xml:space="preserve">por qué se producen altos niveles de homicidio </w:t>
      </w:r>
      <w:r w:rsidR="00DF3510">
        <w:rPr>
          <w:lang w:val="es-CL"/>
        </w:rPr>
        <w:t xml:space="preserve">en México mediante </w:t>
      </w:r>
      <w:r w:rsidR="00DC6EFC">
        <w:rPr>
          <w:lang w:val="es-CL"/>
        </w:rPr>
        <w:t xml:space="preserve">evidencia empírica </w:t>
      </w:r>
      <w:r w:rsidR="00655940">
        <w:rPr>
          <w:lang w:val="es-CL"/>
        </w:rPr>
        <w:t xml:space="preserve">de </w:t>
      </w:r>
      <w:r w:rsidR="00DF3510">
        <w:rPr>
          <w:lang w:val="es-CL"/>
        </w:rPr>
        <w:t xml:space="preserve">variables demográficas y sociales </w:t>
      </w:r>
      <w:r w:rsidR="00DF3510">
        <w:rPr>
          <w:lang w:val="es-CL"/>
        </w:rPr>
        <w:fldChar w:fldCharType="begin"/>
      </w:r>
      <w:r w:rsidR="00DF3510">
        <w:rPr>
          <w:lang w:val="es-CL"/>
        </w:rPr>
        <w:instrText xml:space="preserve"> ADDIN ZOTERO_ITEM CSL_CITATION {"citationID":"zSkS8l9K","properties":{"formattedCitation":"(Vargas, 2021)","plainCitation":"(Vargas, 2021)","noteIndex":0},"citationItems":[{"id":24,"uris":["http://zotero.org/users/14418682/items/5I9FK98C"],"itemData":{"id":24,"type":"article-journal","container-title":"Revista académica","issue":"102","page":"187-226","title":"¿Por qué se producen altos niveles de homicidio doloso en las alcaldías de la Ciudad de México? Una aproximación configuracional desde la teoría de la desorganización social","volume":"36","author":[{"family":"Vargas","given":"B. A."}],"issued":{"date-parts":[["2021"]]}}}],"schema":"https://github.com/citation-style-language/schema/raw/master/csl-citation.json"} </w:instrText>
      </w:r>
      <w:r w:rsidR="00DF3510">
        <w:rPr>
          <w:lang w:val="es-CL"/>
        </w:rPr>
        <w:fldChar w:fldCharType="separate"/>
      </w:r>
      <w:r w:rsidR="00DF3510" w:rsidRPr="00C30609">
        <w:rPr>
          <w:lang w:val="es-CL"/>
        </w:rPr>
        <w:t>(Vargas, 2021)</w:t>
      </w:r>
      <w:r w:rsidR="00DF3510">
        <w:rPr>
          <w:lang w:val="es-CL"/>
        </w:rPr>
        <w:fldChar w:fldCharType="end"/>
      </w:r>
      <w:r w:rsidR="00C30609">
        <w:rPr>
          <w:lang w:val="es-CL"/>
        </w:rPr>
        <w:t>.</w:t>
      </w:r>
    </w:p>
    <w:p w14:paraId="45BDBBAA" w14:textId="4DAE6B87" w:rsidR="00C30609" w:rsidRDefault="00347B93" w:rsidP="0066354B">
      <w:pPr>
        <w:spacing w:line="480" w:lineRule="auto"/>
        <w:jc w:val="both"/>
        <w:rPr>
          <w:lang w:val="es-CL"/>
        </w:rPr>
      </w:pPr>
      <w:r>
        <w:rPr>
          <w:lang w:val="es-CL"/>
        </w:rPr>
        <w:lastRenderedPageBreak/>
        <w:t xml:space="preserve">El autor </w:t>
      </w:r>
      <w:r w:rsidR="00EE7E01">
        <w:rPr>
          <w:lang w:val="es-CL"/>
        </w:rPr>
        <w:t xml:space="preserve">utiliza </w:t>
      </w:r>
      <w:r>
        <w:rPr>
          <w:lang w:val="es-CL"/>
        </w:rPr>
        <w:t xml:space="preserve">la teoría de la desorganización social </w:t>
      </w:r>
      <w:r w:rsidR="00EE7E01">
        <w:rPr>
          <w:lang w:val="es-CL"/>
        </w:rPr>
        <w:t xml:space="preserve">(TDS), postulada por </w:t>
      </w:r>
      <w:r w:rsidR="0072029D">
        <w:rPr>
          <w:lang w:val="es-CL"/>
        </w:rPr>
        <w:t>Charles Ragin (1987)</w:t>
      </w:r>
      <w:r w:rsidR="00337E9F">
        <w:rPr>
          <w:lang w:val="es-CL"/>
        </w:rPr>
        <w:t>, la cual indica: “(…) e</w:t>
      </w:r>
      <w:r w:rsidR="00337E9F" w:rsidRPr="00337E9F">
        <w:rPr>
          <w:lang w:val="es-CL"/>
        </w:rPr>
        <w:t>n determinados contextos existen condiciones vinculadas a las desventajas sociales y a la incapacidad de la comunidad para resolver problemas comunes</w:t>
      </w:r>
      <w:r w:rsidR="00337E9F">
        <w:rPr>
          <w:lang w:val="es-CL"/>
        </w:rPr>
        <w:t>”.</w:t>
      </w:r>
    </w:p>
    <w:p w14:paraId="31834C8C" w14:textId="50C2CC8A" w:rsidR="001E39B3" w:rsidRDefault="001E39B3" w:rsidP="0066354B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La combinación de estas condiciones sería la razón </w:t>
      </w:r>
      <w:r w:rsidR="001D41A4">
        <w:rPr>
          <w:lang w:val="es-CL"/>
        </w:rPr>
        <w:t>de mayores conductas delictivas</w:t>
      </w:r>
      <w:r w:rsidR="007659CE">
        <w:rPr>
          <w:lang w:val="es-CL"/>
        </w:rPr>
        <w:t xml:space="preserve">, por lo tanto, Vargas </w:t>
      </w:r>
      <w:r w:rsidR="00447A6D">
        <w:rPr>
          <w:lang w:val="es-CL"/>
        </w:rPr>
        <w:t>identifica las condiciones que, combinadas, producen</w:t>
      </w:r>
      <w:r w:rsidR="00F146DB">
        <w:rPr>
          <w:lang w:val="es-CL"/>
        </w:rPr>
        <w:t xml:space="preserve"> un ambiente propicio para</w:t>
      </w:r>
      <w:r w:rsidR="00447A6D">
        <w:rPr>
          <w:lang w:val="es-CL"/>
        </w:rPr>
        <w:t xml:space="preserve"> un elevado índice de homicidios en México.</w:t>
      </w:r>
    </w:p>
    <w:p w14:paraId="5543B73E" w14:textId="51047F9E" w:rsidR="00C11C60" w:rsidRDefault="006311FD" w:rsidP="0066354B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Se identifican como las mayores variables influyentes la densidad poblacional, la población joven masculina, </w:t>
      </w:r>
      <w:r w:rsidR="003B20C5">
        <w:rPr>
          <w:lang w:val="es-CL"/>
        </w:rPr>
        <w:t xml:space="preserve">pobreza, estructuras criminales, disrupción familiar y bajo grado de </w:t>
      </w:r>
      <w:r w:rsidR="00C11C60">
        <w:rPr>
          <w:lang w:val="es-CL"/>
        </w:rPr>
        <w:t>eficiencia colectiva.</w:t>
      </w:r>
    </w:p>
    <w:p w14:paraId="5FDE7DD1" w14:textId="353E995A" w:rsidR="00F04690" w:rsidRDefault="00F04690" w:rsidP="0066354B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La densidad poblacional generaría más roces entre los habitantes, la población joven masculina serían los mayores implicados en los homicidios, </w:t>
      </w:r>
      <w:r w:rsidR="00677D08">
        <w:rPr>
          <w:lang w:val="es-CL"/>
        </w:rPr>
        <w:t xml:space="preserve">la pobreza sería lo que impulsa a los individuos a buscar fuentes de ingreso ilegales, las estructuras criminales, tales como el narcotráfico, serían los principales responsables de los homicidios </w:t>
      </w:r>
      <w:r w:rsidR="00910C6F">
        <w:rPr>
          <w:lang w:val="es-CL"/>
        </w:rPr>
        <w:t>y la disrupción familiar un factor personal que puede “motivar” a las personas a involucrarse en ambientes alejados de</w:t>
      </w:r>
      <w:r w:rsidR="008E4563">
        <w:rPr>
          <w:lang w:val="es-CL"/>
        </w:rPr>
        <w:t xml:space="preserve"> la familia y más cercanos a actividades delictuales.</w:t>
      </w:r>
    </w:p>
    <w:p w14:paraId="15AF354E" w14:textId="1D0AD018" w:rsidR="00C11C60" w:rsidRDefault="00C11C60" w:rsidP="0066354B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Por lo tanto, se concluye que, para disminuir los homicidios en México, </w:t>
      </w:r>
      <w:r w:rsidR="001C4A49">
        <w:rPr>
          <w:lang w:val="es-CL"/>
        </w:rPr>
        <w:t xml:space="preserve">se deben intervenir sectores en los que se produzca la combinación de las variables. </w:t>
      </w:r>
    </w:p>
    <w:p w14:paraId="0FD3C631" w14:textId="20B21117" w:rsidR="001D3132" w:rsidRPr="00337E9F" w:rsidRDefault="001D3132" w:rsidP="0066354B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Si bien la densidad poblacional no es algo que pueda ser modificado fácilmente por el Estado, se sugiere comenzar por </w:t>
      </w:r>
      <w:r w:rsidR="007338BF">
        <w:rPr>
          <w:lang w:val="es-CL"/>
        </w:rPr>
        <w:t>con la implementación de políticas públicas que motiven a la población a unirse y mejorar la eficiencia policial, entre otros.</w:t>
      </w:r>
    </w:p>
    <w:p w14:paraId="1AD92854" w14:textId="639A1034" w:rsidR="00BF2829" w:rsidRDefault="00BF2829" w:rsidP="00BF2829">
      <w:pPr>
        <w:rPr>
          <w:b/>
          <w:bCs/>
          <w:lang w:val="es-CL"/>
        </w:rPr>
      </w:pPr>
    </w:p>
    <w:p w14:paraId="755776E3" w14:textId="77777777" w:rsidR="00BF2829" w:rsidRDefault="00BF2829" w:rsidP="00BF2829">
      <w:pPr>
        <w:rPr>
          <w:b/>
          <w:bCs/>
          <w:lang w:val="es-CL"/>
        </w:rPr>
      </w:pPr>
    </w:p>
    <w:p w14:paraId="33A80B5A" w14:textId="6F742231" w:rsidR="00BF2829" w:rsidRDefault="00BF2829" w:rsidP="006E1B63">
      <w:pPr>
        <w:spacing w:line="480" w:lineRule="auto"/>
        <w:jc w:val="both"/>
        <w:rPr>
          <w:b/>
          <w:bCs/>
          <w:lang w:val="es-CL"/>
        </w:rPr>
      </w:pPr>
      <w:r>
        <w:rPr>
          <w:b/>
          <w:bCs/>
          <w:lang w:val="es-CL"/>
        </w:rPr>
        <w:t xml:space="preserve">3. </w:t>
      </w:r>
      <w:r w:rsidR="00E056D3">
        <w:rPr>
          <w:b/>
          <w:bCs/>
          <w:lang w:val="es-CL"/>
        </w:rPr>
        <w:t>Pregunta de investigación y Variables</w:t>
      </w:r>
    </w:p>
    <w:p w14:paraId="0EFB5977" w14:textId="77777777" w:rsidR="00E056D3" w:rsidRDefault="00E056D3" w:rsidP="00BF2829">
      <w:pPr>
        <w:rPr>
          <w:b/>
          <w:bCs/>
          <w:lang w:val="es-CL"/>
        </w:rPr>
      </w:pPr>
    </w:p>
    <w:p w14:paraId="686594E5" w14:textId="6D404A71" w:rsidR="00F17F66" w:rsidRDefault="00B448E2" w:rsidP="00B152E0">
      <w:pPr>
        <w:spacing w:line="480" w:lineRule="auto"/>
        <w:jc w:val="both"/>
        <w:rPr>
          <w:lang w:val="es-CL"/>
        </w:rPr>
      </w:pPr>
      <w:r>
        <w:rPr>
          <w:lang w:val="es-CL"/>
        </w:rPr>
        <w:t>La pregunta planteada para esta investigación es: ¿Existe</w:t>
      </w:r>
      <w:r w:rsidR="00342426">
        <w:rPr>
          <w:lang w:val="es-CL"/>
        </w:rPr>
        <w:t xml:space="preserve"> una relación entre la densidad poblacional de una comuna y la tasa de </w:t>
      </w:r>
      <w:r w:rsidR="00F17F66">
        <w:rPr>
          <w:lang w:val="es-CL"/>
        </w:rPr>
        <w:t>homicidios?</w:t>
      </w:r>
    </w:p>
    <w:p w14:paraId="44E3E17C" w14:textId="757ABD96" w:rsidR="00E056D3" w:rsidRDefault="00F17F66" w:rsidP="00B152E0">
      <w:pPr>
        <w:spacing w:line="480" w:lineRule="auto"/>
        <w:jc w:val="both"/>
        <w:rPr>
          <w:rFonts w:eastAsiaTheme="minorEastAsia"/>
          <w:lang w:val="es-CL"/>
        </w:rPr>
      </w:pPr>
      <w:r>
        <w:rPr>
          <w:lang w:val="es-CL"/>
        </w:rPr>
        <w:lastRenderedPageBreak/>
        <w:t>P</w:t>
      </w:r>
      <w:r w:rsidR="00E643D9">
        <w:rPr>
          <w:lang w:val="es-CL"/>
        </w:rPr>
        <w:t>ara esto, se utilizó como variable independiente (</w:t>
      </w:r>
      <w:r w:rsidR="00993123">
        <w:rPr>
          <w:lang w:val="es-CL"/>
        </w:rPr>
        <w:t>x</w:t>
      </w:r>
      <w:r w:rsidR="00E643D9">
        <w:rPr>
          <w:lang w:val="es-CL"/>
        </w:rPr>
        <w:t>)</w:t>
      </w:r>
      <w:r w:rsidR="00993123">
        <w:rPr>
          <w:lang w:val="es-CL"/>
        </w:rPr>
        <w:t xml:space="preserve"> la densidad poblacional de cada comuna de Chile, siendo esta </w:t>
      </w:r>
      <w:r w:rsidR="00653C38">
        <w:rPr>
          <w:lang w:val="es-CL"/>
        </w:rPr>
        <w:t xml:space="preserve">calculada </w:t>
      </w:r>
      <w:r w:rsidR="00E46017">
        <w:rPr>
          <w:lang w:val="es-CL"/>
        </w:rPr>
        <w:t>de la forma</w:t>
      </w:r>
      <w:r w:rsidR="00606562">
        <w:rPr>
          <w:lang w:val="es-CL"/>
        </w:rPr>
        <w:t>:</w:t>
      </w:r>
      <w:r w:rsidR="00E46017">
        <w:rPr>
          <w:lang w:val="es-CL"/>
        </w:rPr>
        <w:t xml:space="preserve"> </w:t>
      </w:r>
      <w:r w:rsidR="00AF4104">
        <w:rPr>
          <w:lang w:val="es-CL"/>
        </w:rPr>
        <w:t xml:space="preserve">Cantidad de habitantes </w:t>
      </w:r>
      <m:oMath>
        <m:r>
          <w:rPr>
            <w:rFonts w:ascii="Cambria Math" w:hAnsi="Cambria Math"/>
            <w:lang w:val="es-CL"/>
          </w:rPr>
          <m:t>÷</m:t>
        </m:r>
      </m:oMath>
      <w:r w:rsidR="00AF4104">
        <w:rPr>
          <w:rFonts w:eastAsiaTheme="minorEastAsia"/>
          <w:lang w:val="es-CL"/>
        </w:rPr>
        <w:t xml:space="preserve"> </w:t>
      </w:r>
      <m:oMath>
        <m:r>
          <w:rPr>
            <w:rFonts w:ascii="Cambria Math" w:eastAsiaTheme="minorEastAsia" w:hAnsi="Cambria Math"/>
            <w:lang w:val="es-CL"/>
          </w:rPr>
          <m:t>k</m:t>
        </m:r>
        <m:sSup>
          <m:sSupPr>
            <m:ctrlPr>
              <w:rPr>
                <w:rFonts w:ascii="Cambria Math" w:eastAsiaTheme="minorEastAsia" w:hAnsi="Cambria Math"/>
                <w:i/>
                <w:lang w:val="es-CL"/>
              </w:rPr>
            </m:ctrlPr>
          </m:sSupPr>
          <m:e>
            <m:r>
              <w:rPr>
                <w:rFonts w:ascii="Cambria Math" w:eastAsiaTheme="minorEastAsia" w:hAnsi="Cambria Math"/>
                <w:lang w:val="es-CL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s-CL"/>
              </w:rPr>
              <m:t>2</m:t>
            </m:r>
          </m:sup>
        </m:sSup>
      </m:oMath>
      <w:r w:rsidR="00606562">
        <w:rPr>
          <w:rFonts w:eastAsiaTheme="minorEastAsia"/>
          <w:lang w:val="es-CL"/>
        </w:rPr>
        <w:t xml:space="preserve"> por unidad territorial. </w:t>
      </w:r>
    </w:p>
    <w:p w14:paraId="153721A5" w14:textId="7694EAD8" w:rsidR="00606562" w:rsidRPr="00B152E0" w:rsidRDefault="00606562" w:rsidP="00B152E0">
      <w:pPr>
        <w:spacing w:line="480" w:lineRule="auto"/>
        <w:jc w:val="both"/>
        <w:rPr>
          <w:lang w:val="es-CL"/>
        </w:rPr>
      </w:pPr>
      <w:r>
        <w:rPr>
          <w:rFonts w:eastAsiaTheme="minorEastAsia"/>
          <w:lang w:val="es-CL"/>
        </w:rPr>
        <w:t xml:space="preserve">Mientras que la variable independiente (y) </w:t>
      </w:r>
      <w:r w:rsidR="00BE778A">
        <w:rPr>
          <w:rFonts w:eastAsiaTheme="minorEastAsia"/>
          <w:lang w:val="es-CL"/>
        </w:rPr>
        <w:t xml:space="preserve">corresponde a la tasa de homicidios cada 100.00 habitantes </w:t>
      </w:r>
      <w:r w:rsidR="008B0F72">
        <w:rPr>
          <w:rFonts w:eastAsiaTheme="minorEastAsia"/>
          <w:lang w:val="es-CL"/>
        </w:rPr>
        <w:t>de cada comuna.</w:t>
      </w:r>
    </w:p>
    <w:p w14:paraId="55B0F5B6" w14:textId="349F6111" w:rsidR="00E056D3" w:rsidRDefault="00E056D3" w:rsidP="006E1B63">
      <w:pPr>
        <w:spacing w:line="480" w:lineRule="auto"/>
        <w:jc w:val="both"/>
        <w:rPr>
          <w:b/>
          <w:bCs/>
          <w:lang w:val="es-CL"/>
        </w:rPr>
      </w:pPr>
      <w:r>
        <w:rPr>
          <w:b/>
          <w:bCs/>
          <w:lang w:val="es-CL"/>
        </w:rPr>
        <w:t>5. Hipótesis</w:t>
      </w:r>
    </w:p>
    <w:p w14:paraId="5F4E5E07" w14:textId="5A75AAFE" w:rsidR="00E056D3" w:rsidRDefault="00E056D3" w:rsidP="00BF2829">
      <w:pPr>
        <w:rPr>
          <w:b/>
          <w:bCs/>
          <w:lang w:val="es-CL"/>
        </w:rPr>
      </w:pPr>
    </w:p>
    <w:p w14:paraId="5C750992" w14:textId="04A72E61" w:rsidR="00E056D3" w:rsidRDefault="00A06D3F" w:rsidP="00F63EBE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La hipótesis propuesta </w:t>
      </w:r>
      <w:r w:rsidR="00BF669F">
        <w:rPr>
          <w:lang w:val="es-CL"/>
        </w:rPr>
        <w:t xml:space="preserve">es que, </w:t>
      </w:r>
      <w:r w:rsidR="00D96112">
        <w:rPr>
          <w:lang w:val="es-CL"/>
        </w:rPr>
        <w:t>a medida que aumenta la densidad poblacional, aumenta el número de homicidios, dándose una relación positiva entre ambas variables.</w:t>
      </w:r>
    </w:p>
    <w:p w14:paraId="5E299A52" w14:textId="68A904E1" w:rsidR="002013B9" w:rsidRPr="00F63EBE" w:rsidRDefault="002013B9" w:rsidP="00F63EBE">
      <w:pPr>
        <w:spacing w:line="480" w:lineRule="auto"/>
        <w:jc w:val="both"/>
        <w:rPr>
          <w:lang w:val="es-CL"/>
        </w:rPr>
      </w:pPr>
      <w:r>
        <w:rPr>
          <w:lang w:val="es-CL"/>
        </w:rPr>
        <w:t>Es decir, si aumenta x, aumenta y.</w:t>
      </w:r>
    </w:p>
    <w:p w14:paraId="593B3B02" w14:textId="77777777" w:rsidR="00E056D3" w:rsidRDefault="00E056D3" w:rsidP="00BF2829">
      <w:pPr>
        <w:rPr>
          <w:b/>
          <w:bCs/>
          <w:lang w:val="es-CL"/>
        </w:rPr>
      </w:pPr>
    </w:p>
    <w:p w14:paraId="3158B074" w14:textId="5B8D8960" w:rsidR="00E056D3" w:rsidRDefault="00E056D3" w:rsidP="006E1B63">
      <w:pPr>
        <w:spacing w:line="480" w:lineRule="auto"/>
        <w:jc w:val="both"/>
        <w:rPr>
          <w:b/>
          <w:bCs/>
          <w:lang w:val="es-CL"/>
        </w:rPr>
      </w:pPr>
      <w:r>
        <w:rPr>
          <w:b/>
          <w:bCs/>
          <w:lang w:val="es-CL"/>
        </w:rPr>
        <w:t>6. Metodología y Datos</w:t>
      </w:r>
    </w:p>
    <w:p w14:paraId="19D271C5" w14:textId="77777777" w:rsidR="00E056D3" w:rsidRDefault="00E056D3" w:rsidP="00BF2829">
      <w:pPr>
        <w:rPr>
          <w:b/>
          <w:bCs/>
          <w:lang w:val="es-CL"/>
        </w:rPr>
      </w:pPr>
    </w:p>
    <w:p w14:paraId="6E09DECE" w14:textId="208BDD83" w:rsidR="00FE77CA" w:rsidRDefault="002659F0" w:rsidP="00084315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Para realizar la investigación, </w:t>
      </w:r>
      <w:r w:rsidR="00F76A09">
        <w:rPr>
          <w:lang w:val="es-CL"/>
        </w:rPr>
        <w:t>se utilizó la densidad poblacional de cada comuna</w:t>
      </w:r>
      <w:r w:rsidR="00E80FAF">
        <w:rPr>
          <w:lang w:val="es-CL"/>
        </w:rPr>
        <w:t xml:space="preserve"> de Chile</w:t>
      </w:r>
      <w:r w:rsidR="00F76A09">
        <w:rPr>
          <w:lang w:val="es-CL"/>
        </w:rPr>
        <w:t xml:space="preserve"> indicada en el C</w:t>
      </w:r>
      <w:r w:rsidR="00084315">
        <w:rPr>
          <w:lang w:val="es-CL"/>
        </w:rPr>
        <w:t>enso</w:t>
      </w:r>
      <w:r w:rsidR="00F76A09">
        <w:rPr>
          <w:lang w:val="es-CL"/>
        </w:rPr>
        <w:t xml:space="preserve"> del 2017</w:t>
      </w:r>
      <w:r w:rsidR="00BB4FA9">
        <w:rPr>
          <w:lang w:val="es-CL"/>
        </w:rPr>
        <w:t xml:space="preserve">, </w:t>
      </w:r>
      <w:r w:rsidR="00E021A9">
        <w:rPr>
          <w:lang w:val="es-CL"/>
        </w:rPr>
        <w:t xml:space="preserve">datos </w:t>
      </w:r>
      <w:r w:rsidR="00BB4FA9">
        <w:rPr>
          <w:lang w:val="es-CL"/>
        </w:rPr>
        <w:t>proporcionad</w:t>
      </w:r>
      <w:r w:rsidR="00E55B97">
        <w:rPr>
          <w:lang w:val="es-CL"/>
        </w:rPr>
        <w:t>o</w:t>
      </w:r>
      <w:r w:rsidR="00E021A9">
        <w:rPr>
          <w:lang w:val="es-CL"/>
        </w:rPr>
        <w:t>s</w:t>
      </w:r>
      <w:r w:rsidR="00BB4FA9">
        <w:rPr>
          <w:lang w:val="es-CL"/>
        </w:rPr>
        <w:t xml:space="preserve"> por </w:t>
      </w:r>
      <w:r w:rsidR="00F8394A">
        <w:rPr>
          <w:lang w:val="es-CL"/>
        </w:rPr>
        <w:t xml:space="preserve">el </w:t>
      </w:r>
      <w:r w:rsidR="00963B89">
        <w:rPr>
          <w:lang w:val="es-CL"/>
        </w:rPr>
        <w:t>académico Kenneth Bunker</w:t>
      </w:r>
      <w:r w:rsidR="007418D2">
        <w:rPr>
          <w:lang w:val="es-CL"/>
        </w:rPr>
        <w:t>,</w:t>
      </w:r>
      <w:r w:rsidR="00963B89">
        <w:rPr>
          <w:lang w:val="es-CL"/>
        </w:rPr>
        <w:t xml:space="preserve"> </w:t>
      </w:r>
      <w:r w:rsidR="00084315">
        <w:rPr>
          <w:lang w:val="es-CL"/>
        </w:rPr>
        <w:t xml:space="preserve">y la tasa de homicidios cada 100.000 habitantes </w:t>
      </w:r>
      <w:r w:rsidR="00456DA5">
        <w:rPr>
          <w:lang w:val="es-CL"/>
        </w:rPr>
        <w:t xml:space="preserve">extraída de la página web </w:t>
      </w:r>
      <w:r w:rsidR="00434BFE">
        <w:rPr>
          <w:lang w:val="es-CL"/>
        </w:rPr>
        <w:t xml:space="preserve">del Centro de Estudios y Análisis del Delito (CEAD) del </w:t>
      </w:r>
      <w:r w:rsidR="00A7420E">
        <w:rPr>
          <w:lang w:val="es-CL"/>
        </w:rPr>
        <w:t xml:space="preserve">año 2023. </w:t>
      </w:r>
    </w:p>
    <w:p w14:paraId="67B09157" w14:textId="42F15EBB" w:rsidR="009F3677" w:rsidRDefault="009F3677" w:rsidP="00084315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Esto contempló </w:t>
      </w:r>
      <w:r w:rsidR="00C427F2">
        <w:rPr>
          <w:lang w:val="es-CL"/>
        </w:rPr>
        <w:t>los datos de 34</w:t>
      </w:r>
      <w:r w:rsidR="00827AB5">
        <w:rPr>
          <w:lang w:val="es-CL"/>
        </w:rPr>
        <w:t xml:space="preserve">5 </w:t>
      </w:r>
      <w:r w:rsidR="00C427F2">
        <w:rPr>
          <w:lang w:val="es-CL"/>
        </w:rPr>
        <w:t>comunas</w:t>
      </w:r>
      <w:r w:rsidR="00702354">
        <w:rPr>
          <w:lang w:val="es-CL"/>
        </w:rPr>
        <w:t>, excluyendo la Antártica, pues no hay registro de la densidad poblacional de esa comuna ni de la tasa de homicidios.</w:t>
      </w:r>
    </w:p>
    <w:p w14:paraId="5D2E7FAF" w14:textId="1D9DCC8E" w:rsidR="00A7420E" w:rsidRDefault="00A7420E" w:rsidP="00084315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Ambas variables fueron ingresadas en una basa de datos </w:t>
      </w:r>
      <w:r w:rsidR="00FC2AD8">
        <w:rPr>
          <w:lang w:val="es-CL"/>
        </w:rPr>
        <w:t xml:space="preserve">junto con el nombre de cada comuna, </w:t>
      </w:r>
      <w:r w:rsidR="00B2634C">
        <w:rPr>
          <w:lang w:val="es-CL"/>
        </w:rPr>
        <w:t xml:space="preserve">permitiendo crear un gráfico de dispersión </w:t>
      </w:r>
      <w:r w:rsidR="00C66963">
        <w:rPr>
          <w:lang w:val="es-CL"/>
        </w:rPr>
        <w:t xml:space="preserve">y una tabla que </w:t>
      </w:r>
      <w:r w:rsidR="00CA35DA">
        <w:rPr>
          <w:lang w:val="es-CL"/>
        </w:rPr>
        <w:t xml:space="preserve">incluye el promedio de cada variable, </w:t>
      </w:r>
      <w:r w:rsidR="00B66366">
        <w:rPr>
          <w:lang w:val="es-CL"/>
        </w:rPr>
        <w:t>su desviación estándar</w:t>
      </w:r>
      <w:r w:rsidR="00191305">
        <w:rPr>
          <w:lang w:val="es-CL"/>
        </w:rPr>
        <w:t xml:space="preserve"> y</w:t>
      </w:r>
      <w:r w:rsidR="00B66366">
        <w:rPr>
          <w:lang w:val="es-CL"/>
        </w:rPr>
        <w:t xml:space="preserve"> sus puntos mínimos y máximos</w:t>
      </w:r>
      <w:r w:rsidR="00191305">
        <w:rPr>
          <w:lang w:val="es-CL"/>
        </w:rPr>
        <w:t>, esta</w:t>
      </w:r>
      <w:r w:rsidR="00B66366">
        <w:rPr>
          <w:lang w:val="es-CL"/>
        </w:rPr>
        <w:t xml:space="preserve"> </w:t>
      </w:r>
      <w:r w:rsidR="00C66963">
        <w:rPr>
          <w:lang w:val="es-CL"/>
        </w:rPr>
        <w:t xml:space="preserve">será presentada en la sección siguiente </w:t>
      </w:r>
      <w:r w:rsidR="00E80FAF">
        <w:rPr>
          <w:lang w:val="es-CL"/>
        </w:rPr>
        <w:t xml:space="preserve">correspondiente a los resultados. </w:t>
      </w:r>
    </w:p>
    <w:p w14:paraId="32F21FE8" w14:textId="7ED30D96" w:rsidR="00E80FAF" w:rsidRDefault="00144A46" w:rsidP="00084315">
      <w:pPr>
        <w:spacing w:line="480" w:lineRule="auto"/>
        <w:jc w:val="both"/>
        <w:rPr>
          <w:lang w:val="es-CL"/>
        </w:rPr>
      </w:pPr>
      <w:r>
        <w:rPr>
          <w:lang w:val="es-CL"/>
        </w:rPr>
        <w:t>Dos comunas</w:t>
      </w:r>
      <w:r w:rsidR="00E916DA">
        <w:rPr>
          <w:lang w:val="es-CL"/>
        </w:rPr>
        <w:t>, además de la Antártica,</w:t>
      </w:r>
      <w:r>
        <w:rPr>
          <w:lang w:val="es-CL"/>
        </w:rPr>
        <w:t xml:space="preserve"> debieron ser extraídas de la base para </w:t>
      </w:r>
      <w:r w:rsidR="00FC5E08">
        <w:rPr>
          <w:lang w:val="es-CL"/>
        </w:rPr>
        <w:t>corroborar la hipótesis de forma efectiva</w:t>
      </w:r>
      <w:r w:rsidR="00DE3830">
        <w:rPr>
          <w:lang w:val="es-CL"/>
        </w:rPr>
        <w:t>,</w:t>
      </w:r>
      <w:r w:rsidR="00FC5E08">
        <w:rPr>
          <w:lang w:val="es-CL"/>
        </w:rPr>
        <w:t xml:space="preserve"> </w:t>
      </w:r>
      <w:r w:rsidR="00DE3830">
        <w:rPr>
          <w:lang w:val="es-CL"/>
        </w:rPr>
        <w:t>e</w:t>
      </w:r>
      <w:r w:rsidR="00FC5E08">
        <w:rPr>
          <w:lang w:val="es-CL"/>
        </w:rPr>
        <w:t>sto debido a que ambas son outlayers por situaciones excepcionales que se dan dentro de los territorios y que no se replican en el resto del país.</w:t>
      </w:r>
    </w:p>
    <w:p w14:paraId="7CCDDA47" w14:textId="2036724D" w:rsidR="00355624" w:rsidRDefault="00355624" w:rsidP="00084315">
      <w:pPr>
        <w:spacing w:line="480" w:lineRule="auto"/>
        <w:jc w:val="both"/>
        <w:rPr>
          <w:lang w:val="es-CL"/>
        </w:rPr>
      </w:pPr>
      <w:r>
        <w:rPr>
          <w:lang w:val="es-CL"/>
        </w:rPr>
        <w:t>Estas comunas son:</w:t>
      </w:r>
    </w:p>
    <w:p w14:paraId="177371FC" w14:textId="6F37B5B6" w:rsidR="00355624" w:rsidRPr="008450D9" w:rsidRDefault="00355624" w:rsidP="008450D9">
      <w:pPr>
        <w:pStyle w:val="Prrafodelista"/>
        <w:numPr>
          <w:ilvl w:val="0"/>
          <w:numId w:val="2"/>
        </w:numPr>
        <w:spacing w:line="480" w:lineRule="auto"/>
        <w:jc w:val="both"/>
        <w:rPr>
          <w:rFonts w:eastAsiaTheme="minorEastAsia"/>
          <w:lang w:val="es-CL"/>
        </w:rPr>
      </w:pPr>
      <w:r w:rsidRPr="008450D9">
        <w:rPr>
          <w:b/>
          <w:bCs/>
          <w:i/>
          <w:iCs/>
          <w:lang w:val="es-CL"/>
        </w:rPr>
        <w:lastRenderedPageBreak/>
        <w:t>La estrella</w:t>
      </w:r>
      <w:r w:rsidR="00B02440" w:rsidRPr="008450D9">
        <w:rPr>
          <w:lang w:val="es-CL"/>
        </w:rPr>
        <w:t xml:space="preserve">, </w:t>
      </w:r>
      <w:r w:rsidR="00BF3C42" w:rsidRPr="008450D9">
        <w:rPr>
          <w:lang w:val="es-CL"/>
        </w:rPr>
        <w:t xml:space="preserve">ubicada en la </w:t>
      </w:r>
      <w:r w:rsidR="006A31AB">
        <w:rPr>
          <w:lang w:val="es-CL"/>
        </w:rPr>
        <w:t>R</w:t>
      </w:r>
      <w:r w:rsidR="00BF3C42" w:rsidRPr="008450D9">
        <w:rPr>
          <w:lang w:val="es-CL"/>
        </w:rPr>
        <w:t xml:space="preserve">egión </w:t>
      </w:r>
      <w:r w:rsidR="008D4FB5" w:rsidRPr="008450D9">
        <w:rPr>
          <w:lang w:val="es-CL"/>
        </w:rPr>
        <w:t xml:space="preserve">del Libertador General Bernardo O’Higgins, </w:t>
      </w:r>
      <w:r w:rsidR="00B02440" w:rsidRPr="008450D9">
        <w:rPr>
          <w:lang w:val="es-CL"/>
        </w:rPr>
        <w:t xml:space="preserve">con una densidad poblacional de siete habitantes por </w:t>
      </w:r>
      <m:oMath>
        <m:r>
          <w:rPr>
            <w:rFonts w:ascii="Cambria Math" w:hAnsi="Cambria Math"/>
            <w:lang w:val="es-CL"/>
          </w:rPr>
          <m:t>k</m:t>
        </m:r>
        <m:sSup>
          <m:sSupPr>
            <m:ctrlPr>
              <w:rPr>
                <w:rFonts w:ascii="Cambria Math" w:hAnsi="Cambria Math"/>
                <w:i/>
                <w:lang w:val="es-CL"/>
              </w:rPr>
            </m:ctrlPr>
          </m:sSupPr>
          <m:e>
            <m:r>
              <w:rPr>
                <w:rFonts w:ascii="Cambria Math" w:hAnsi="Cambria Math"/>
                <w:lang w:val="es-CL"/>
              </w:rPr>
              <m:t>m</m:t>
            </m:r>
          </m:e>
          <m:sup>
            <m:r>
              <w:rPr>
                <w:rFonts w:ascii="Cambria Math" w:hAnsi="Cambria Math"/>
                <w:lang w:val="es-CL"/>
              </w:rPr>
              <m:t>2</m:t>
            </m:r>
          </m:sup>
        </m:sSup>
      </m:oMath>
      <w:r w:rsidR="00B74CAE" w:rsidRPr="008450D9">
        <w:rPr>
          <w:rFonts w:eastAsiaTheme="minorEastAsia"/>
          <w:lang w:val="es-CL"/>
        </w:rPr>
        <w:t xml:space="preserve"> y con una tasa de homicidios de 96,7 cada 100.000 habitantes.</w:t>
      </w:r>
    </w:p>
    <w:p w14:paraId="4E81917C" w14:textId="274AD3AE" w:rsidR="00E056D3" w:rsidRPr="008450D9" w:rsidRDefault="00E91AB5" w:rsidP="008450D9">
      <w:pPr>
        <w:pStyle w:val="Prrafodelista"/>
        <w:numPr>
          <w:ilvl w:val="0"/>
          <w:numId w:val="2"/>
        </w:numPr>
        <w:spacing w:line="480" w:lineRule="auto"/>
        <w:jc w:val="both"/>
        <w:rPr>
          <w:rFonts w:eastAsiaTheme="minorEastAsia"/>
          <w:lang w:val="es-CL"/>
        </w:rPr>
      </w:pPr>
      <w:r w:rsidRPr="008450D9">
        <w:rPr>
          <w:rFonts w:eastAsiaTheme="minorEastAsia"/>
          <w:b/>
          <w:bCs/>
          <w:i/>
          <w:iCs/>
          <w:lang w:val="es-CL"/>
        </w:rPr>
        <w:t>Colchane</w:t>
      </w:r>
      <w:r w:rsidRPr="008450D9">
        <w:rPr>
          <w:rFonts w:eastAsiaTheme="minorEastAsia"/>
          <w:lang w:val="es-CL"/>
        </w:rPr>
        <w:t>,</w:t>
      </w:r>
      <w:r w:rsidR="008D4FB5" w:rsidRPr="008450D9">
        <w:rPr>
          <w:rFonts w:eastAsiaTheme="minorEastAsia"/>
          <w:lang w:val="es-CL"/>
        </w:rPr>
        <w:t xml:space="preserve"> </w:t>
      </w:r>
      <w:r w:rsidR="00C67ABB">
        <w:rPr>
          <w:rFonts w:eastAsiaTheme="minorEastAsia"/>
          <w:lang w:val="es-CL"/>
        </w:rPr>
        <w:t xml:space="preserve">frontera con </w:t>
      </w:r>
      <w:r w:rsidR="001E7E7E">
        <w:rPr>
          <w:rFonts w:eastAsiaTheme="minorEastAsia"/>
          <w:lang w:val="es-CL"/>
        </w:rPr>
        <w:t xml:space="preserve">Bolivia </w:t>
      </w:r>
      <w:r w:rsidR="00C67ABB">
        <w:rPr>
          <w:rFonts w:eastAsiaTheme="minorEastAsia"/>
          <w:lang w:val="es-CL"/>
        </w:rPr>
        <w:t xml:space="preserve">y </w:t>
      </w:r>
      <w:r w:rsidR="008D4FB5" w:rsidRPr="008450D9">
        <w:rPr>
          <w:rFonts w:eastAsiaTheme="minorEastAsia"/>
          <w:lang w:val="es-CL"/>
        </w:rPr>
        <w:t xml:space="preserve">ubicada en </w:t>
      </w:r>
      <w:r w:rsidR="00901A89" w:rsidRPr="008450D9">
        <w:rPr>
          <w:rFonts w:eastAsiaTheme="minorEastAsia"/>
          <w:lang w:val="es-CL"/>
        </w:rPr>
        <w:t xml:space="preserve">la </w:t>
      </w:r>
      <w:r w:rsidR="006A31AB">
        <w:rPr>
          <w:rFonts w:eastAsiaTheme="minorEastAsia"/>
          <w:lang w:val="es-CL"/>
        </w:rPr>
        <w:t>R</w:t>
      </w:r>
      <w:r w:rsidR="00901A89" w:rsidRPr="008450D9">
        <w:rPr>
          <w:rFonts w:eastAsiaTheme="minorEastAsia"/>
          <w:lang w:val="es-CL"/>
        </w:rPr>
        <w:t>egión de Tarapacá</w:t>
      </w:r>
      <w:r w:rsidR="00E05615" w:rsidRPr="008450D9">
        <w:rPr>
          <w:rFonts w:eastAsiaTheme="minorEastAsia"/>
          <w:lang w:val="es-CL"/>
        </w:rPr>
        <w:t>,</w:t>
      </w:r>
      <w:r w:rsidRPr="008450D9">
        <w:rPr>
          <w:rFonts w:eastAsiaTheme="minorEastAsia"/>
          <w:lang w:val="es-CL"/>
        </w:rPr>
        <w:t xml:space="preserve"> con una densidad poblacional de 0,4 habitantes por </w:t>
      </w:r>
      <m:oMath>
        <m:r>
          <w:rPr>
            <w:rFonts w:ascii="Cambria Math" w:eastAsiaTheme="minorEastAsia" w:hAnsi="Cambria Math"/>
            <w:lang w:val="es-CL"/>
          </w:rPr>
          <m:t>K</m:t>
        </m:r>
        <m:sSup>
          <m:sSupPr>
            <m:ctrlPr>
              <w:rPr>
                <w:rFonts w:ascii="Cambria Math" w:eastAsiaTheme="minorEastAsia" w:hAnsi="Cambria Math"/>
                <w:i/>
                <w:lang w:val="es-CL"/>
              </w:rPr>
            </m:ctrlPr>
          </m:sSupPr>
          <m:e>
            <m:r>
              <w:rPr>
                <w:rFonts w:ascii="Cambria Math" w:eastAsiaTheme="minorEastAsia" w:hAnsi="Cambria Math"/>
                <w:lang w:val="es-CL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s-CL"/>
              </w:rPr>
              <m:t>2</m:t>
            </m:r>
          </m:sup>
        </m:sSup>
      </m:oMath>
      <w:r w:rsidRPr="008450D9">
        <w:rPr>
          <w:rFonts w:eastAsiaTheme="minorEastAsia"/>
          <w:lang w:val="es-CL"/>
        </w:rPr>
        <w:t xml:space="preserve"> y con una tasa de homicidios de </w:t>
      </w:r>
      <w:r w:rsidR="002332CC" w:rsidRPr="008450D9">
        <w:rPr>
          <w:rFonts w:eastAsiaTheme="minorEastAsia"/>
          <w:lang w:val="es-CL"/>
        </w:rPr>
        <w:t>63,7 cada 100.000 habitantes.</w:t>
      </w:r>
    </w:p>
    <w:p w14:paraId="19F541B6" w14:textId="56F916FA" w:rsidR="002332CC" w:rsidRPr="00DE3830" w:rsidRDefault="00C33141" w:rsidP="002332CC">
      <w:pPr>
        <w:spacing w:line="480" w:lineRule="auto"/>
        <w:jc w:val="both"/>
        <w:rPr>
          <w:lang w:val="es-CL"/>
        </w:rPr>
      </w:pPr>
      <w:r>
        <w:rPr>
          <w:lang w:val="es-CL"/>
        </w:rPr>
        <w:t>En ambas es necesario realizar una investigación particula</w:t>
      </w:r>
      <w:r w:rsidR="004E1E5D">
        <w:rPr>
          <w:lang w:val="es-CL"/>
        </w:rPr>
        <w:t>r sobre el motivo de que estas tengan tasas de homicidios tan altas para ser lugares donde es tan poco probable que ocurran roces entre los habitantes</w:t>
      </w:r>
      <w:r w:rsidR="00713557">
        <w:rPr>
          <w:lang w:val="es-CL"/>
        </w:rPr>
        <w:t xml:space="preserve"> y se apliquen algunas de las variables presentadas en los estudios del marco teórico</w:t>
      </w:r>
      <w:r w:rsidR="00653F7A">
        <w:rPr>
          <w:lang w:val="es-CL"/>
        </w:rPr>
        <w:t xml:space="preserve">, especialmente en La estrella, comuna con la tasa de </w:t>
      </w:r>
      <w:r w:rsidR="00AD3AF9">
        <w:rPr>
          <w:lang w:val="es-CL"/>
        </w:rPr>
        <w:t>homicidios</w:t>
      </w:r>
      <w:r w:rsidR="00653F7A">
        <w:rPr>
          <w:lang w:val="es-CL"/>
        </w:rPr>
        <w:t xml:space="preserve"> más alta del país</w:t>
      </w:r>
      <w:r w:rsidR="007119EC">
        <w:rPr>
          <w:lang w:val="es-CL"/>
        </w:rPr>
        <w:t xml:space="preserve"> para el 2023.</w:t>
      </w:r>
    </w:p>
    <w:p w14:paraId="19A1B18E" w14:textId="7584EB98" w:rsidR="00E056D3" w:rsidRDefault="00E056D3" w:rsidP="00BF2829">
      <w:pPr>
        <w:rPr>
          <w:b/>
          <w:bCs/>
          <w:lang w:val="es-CL"/>
        </w:rPr>
      </w:pPr>
    </w:p>
    <w:p w14:paraId="12050B92" w14:textId="2635BAD5" w:rsidR="00E056D3" w:rsidRDefault="00FE77CA" w:rsidP="00BF2829">
      <w:pPr>
        <w:rPr>
          <w:b/>
          <w:bCs/>
          <w:lang w:val="es-CL"/>
        </w:rPr>
      </w:pPr>
      <w:r>
        <w:rPr>
          <w:b/>
          <w:bCs/>
          <w:lang w:val="es-CL"/>
        </w:rPr>
        <w:t>7. Resultados</w:t>
      </w:r>
    </w:p>
    <w:p w14:paraId="0FE41359" w14:textId="364E1119" w:rsidR="00FE77CA" w:rsidRPr="00C225B8" w:rsidRDefault="00FE77CA" w:rsidP="00C225B8">
      <w:pPr>
        <w:spacing w:line="480" w:lineRule="auto"/>
        <w:jc w:val="both"/>
        <w:rPr>
          <w:lang w:val="es-CL"/>
        </w:rPr>
      </w:pPr>
    </w:p>
    <w:p w14:paraId="599E0C0B" w14:textId="1B08F75E" w:rsidR="00FE77CA" w:rsidRDefault="004C3879" w:rsidP="00DF7032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Con </w:t>
      </w:r>
      <w:r w:rsidR="000852E9">
        <w:rPr>
          <w:lang w:val="es-CL"/>
        </w:rPr>
        <w:t>la creación de un gráfico de dispersión, se ha presentado lo siguiente:</w:t>
      </w:r>
    </w:p>
    <w:p w14:paraId="7CAE148E" w14:textId="074F0EBF" w:rsidR="00AF4055" w:rsidRDefault="00105D6E" w:rsidP="00DF7032">
      <w:pPr>
        <w:spacing w:line="480" w:lineRule="auto"/>
        <w:jc w:val="both"/>
        <w:rPr>
          <w:lang w:val="es-CL"/>
        </w:rPr>
      </w:pPr>
      <w:r w:rsidRPr="00AF4055">
        <w:rPr>
          <w:noProof/>
          <w:lang w:val="es-CL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9A349D0" wp14:editId="4346A375">
                <wp:simplePos x="0" y="0"/>
                <wp:positionH relativeFrom="margin">
                  <wp:posOffset>0</wp:posOffset>
                </wp:positionH>
                <wp:positionV relativeFrom="paragraph">
                  <wp:posOffset>70789</wp:posOffset>
                </wp:positionV>
                <wp:extent cx="2360930" cy="1404620"/>
                <wp:effectExtent l="0" t="0" r="0" b="0"/>
                <wp:wrapNone/>
                <wp:docPr id="9507390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958AE" w14:textId="30222BBB" w:rsidR="00AF4055" w:rsidRPr="00105D6E" w:rsidRDefault="00105D6E"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Figura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A349D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5.55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" filled="f" stroked="f">
                <v:textbox style="mso-fit-shape-to-text:t">
                  <w:txbxContent>
                    <w:p w14:paraId="533958AE" w14:textId="30222BBB" w:rsidR="00AF4055" w:rsidRPr="00105D6E" w:rsidRDefault="00105D6E">
                      <w:p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Figura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57AEF6" w14:textId="615B9CB8" w:rsidR="000852E9" w:rsidRPr="00DF7032" w:rsidRDefault="00CA54CF" w:rsidP="00DF7032">
      <w:pPr>
        <w:spacing w:line="480" w:lineRule="auto"/>
        <w:jc w:val="both"/>
        <w:rPr>
          <w:lang w:val="es-CL"/>
        </w:rPr>
      </w:pPr>
      <w:r w:rsidRPr="00CA54CF">
        <w:rPr>
          <w:b/>
          <w:bCs/>
          <w:noProof/>
          <w:lang w:val="es-CL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5B334E7" wp14:editId="472DDD58">
                <wp:simplePos x="0" y="0"/>
                <wp:positionH relativeFrom="margin">
                  <wp:align>left</wp:align>
                </wp:positionH>
                <wp:positionV relativeFrom="paragraph">
                  <wp:posOffset>2957449</wp:posOffset>
                </wp:positionV>
                <wp:extent cx="4956048" cy="310896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6048" cy="3108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C309D" w14:textId="569F5CE6" w:rsidR="00CA54CF" w:rsidRPr="00CA54CF" w:rsidRDefault="00CA54CF"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Fuente: Elaboración propia en base a </w:t>
                            </w:r>
                            <w:r w:rsidR="002E4A26">
                              <w:rPr>
                                <w:lang w:val="es-CL"/>
                              </w:rPr>
                              <w:t>datos de</w:t>
                            </w:r>
                            <w:r w:rsidR="00105D6E">
                              <w:rPr>
                                <w:lang w:val="es-CL"/>
                              </w:rPr>
                              <w:t>l</w:t>
                            </w:r>
                            <w:r w:rsidR="002E4A26">
                              <w:rPr>
                                <w:lang w:val="es-CL"/>
                              </w:rPr>
                              <w:t xml:space="preserve"> Censo </w:t>
                            </w:r>
                            <w:r w:rsidR="00EF2184">
                              <w:rPr>
                                <w:lang w:val="es-CL"/>
                              </w:rPr>
                              <w:t>(</w:t>
                            </w:r>
                            <w:r w:rsidR="002E4A26">
                              <w:rPr>
                                <w:lang w:val="es-CL"/>
                              </w:rPr>
                              <w:t>2017</w:t>
                            </w:r>
                            <w:r w:rsidR="00EF2184">
                              <w:rPr>
                                <w:lang w:val="es-CL"/>
                              </w:rPr>
                              <w:t>)</w:t>
                            </w:r>
                            <w:r w:rsidR="002E4A26">
                              <w:rPr>
                                <w:lang w:val="es-CL"/>
                              </w:rPr>
                              <w:t xml:space="preserve"> y CEAD </w:t>
                            </w:r>
                            <w:r w:rsidR="00EF2184">
                              <w:rPr>
                                <w:lang w:val="es-CL"/>
                              </w:rPr>
                              <w:t>(</w:t>
                            </w:r>
                            <w:r w:rsidR="002E4A26">
                              <w:rPr>
                                <w:lang w:val="es-CL"/>
                              </w:rPr>
                              <w:t>2023</w:t>
                            </w:r>
                            <w:r w:rsidR="00EF2184">
                              <w:rPr>
                                <w:lang w:val="es-C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34E7" id="_x0000_s1027" type="#_x0000_t202" style="position:absolute;left:0;text-align:left;margin-left:0;margin-top:232.85pt;width:390.25pt;height:24.5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" filled="f" stroked="f">
                <v:textbox>
                  <w:txbxContent>
                    <w:p w14:paraId="4AEC309D" w14:textId="569F5CE6" w:rsidR="00CA54CF" w:rsidRPr="00CA54CF" w:rsidRDefault="00CA54CF">
                      <w:p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Fuente: Elaboración propia en base a </w:t>
                      </w:r>
                      <w:r w:rsidR="002E4A26">
                        <w:rPr>
                          <w:lang w:val="es-CL"/>
                        </w:rPr>
                        <w:t>datos de</w:t>
                      </w:r>
                      <w:r w:rsidR="00105D6E">
                        <w:rPr>
                          <w:lang w:val="es-CL"/>
                        </w:rPr>
                        <w:t>l</w:t>
                      </w:r>
                      <w:r w:rsidR="002E4A26">
                        <w:rPr>
                          <w:lang w:val="es-CL"/>
                        </w:rPr>
                        <w:t xml:space="preserve"> Censo </w:t>
                      </w:r>
                      <w:r w:rsidR="00EF2184">
                        <w:rPr>
                          <w:lang w:val="es-CL"/>
                        </w:rPr>
                        <w:t>(</w:t>
                      </w:r>
                      <w:r w:rsidR="002E4A26">
                        <w:rPr>
                          <w:lang w:val="es-CL"/>
                        </w:rPr>
                        <w:t>2017</w:t>
                      </w:r>
                      <w:r w:rsidR="00EF2184">
                        <w:rPr>
                          <w:lang w:val="es-CL"/>
                        </w:rPr>
                        <w:t>)</w:t>
                      </w:r>
                      <w:r w:rsidR="002E4A26">
                        <w:rPr>
                          <w:lang w:val="es-CL"/>
                        </w:rPr>
                        <w:t xml:space="preserve"> y CEAD </w:t>
                      </w:r>
                      <w:r w:rsidR="00EF2184">
                        <w:rPr>
                          <w:lang w:val="es-CL"/>
                        </w:rPr>
                        <w:t>(</w:t>
                      </w:r>
                      <w:r w:rsidR="002E4A26">
                        <w:rPr>
                          <w:lang w:val="es-CL"/>
                        </w:rPr>
                        <w:t>2023</w:t>
                      </w:r>
                      <w:r w:rsidR="00EF2184">
                        <w:rPr>
                          <w:lang w:val="es-CL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07A">
        <w:rPr>
          <w:noProof/>
        </w:rPr>
        <w:drawing>
          <wp:inline distT="0" distB="0" distL="0" distR="0" wp14:anchorId="53AB11AF" wp14:editId="6D963BA4">
            <wp:extent cx="5400040" cy="2962656"/>
            <wp:effectExtent l="0" t="0" r="10160" b="9525"/>
            <wp:docPr id="57410696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39DD70F-79E0-379F-A58A-7D505A2F8C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7E21F89" w14:textId="77777777" w:rsidR="00FE77CA" w:rsidRDefault="00FE77CA" w:rsidP="00BF2829">
      <w:pPr>
        <w:rPr>
          <w:b/>
          <w:bCs/>
          <w:lang w:val="es-CL"/>
        </w:rPr>
      </w:pPr>
    </w:p>
    <w:p w14:paraId="39187462" w14:textId="77777777" w:rsidR="00FE77CA" w:rsidRDefault="00FE77CA" w:rsidP="00BF2829">
      <w:pPr>
        <w:rPr>
          <w:b/>
          <w:bCs/>
          <w:lang w:val="es-CL"/>
        </w:rPr>
      </w:pPr>
    </w:p>
    <w:p w14:paraId="1BBA1CEE" w14:textId="77777777" w:rsidR="0044439F" w:rsidRDefault="000842C4" w:rsidP="000842C4">
      <w:pPr>
        <w:spacing w:line="480" w:lineRule="auto"/>
        <w:jc w:val="both"/>
        <w:rPr>
          <w:lang w:val="es-CL"/>
        </w:rPr>
      </w:pPr>
      <w:r>
        <w:rPr>
          <w:lang w:val="es-CL"/>
        </w:rPr>
        <w:lastRenderedPageBreak/>
        <w:t xml:space="preserve">Se corrobora la relación positiva entre </w:t>
      </w:r>
      <w:r w:rsidR="00B036A3">
        <w:rPr>
          <w:lang w:val="es-CL"/>
        </w:rPr>
        <w:t>las variables</w:t>
      </w:r>
      <w:r w:rsidR="007B7B21">
        <w:rPr>
          <w:lang w:val="es-CL"/>
        </w:rPr>
        <w:t xml:space="preserve"> y se da la fórmula</w:t>
      </w:r>
      <w:r w:rsidR="0044439F">
        <w:rPr>
          <w:lang w:val="es-CL"/>
        </w:rPr>
        <w:t>:</w:t>
      </w:r>
    </w:p>
    <w:p w14:paraId="5F7A5225" w14:textId="24F31004" w:rsidR="00CA54CF" w:rsidRPr="000842C4" w:rsidRDefault="0044439F" w:rsidP="000842C4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 </w:t>
      </w:r>
      <m:oMath>
        <m:r>
          <w:rPr>
            <w:rFonts w:ascii="Cambria Math" w:hAnsi="Cambria Math"/>
            <w:lang w:val="es-CL"/>
          </w:rPr>
          <m:t>y=0,0003+3,3748</m:t>
        </m:r>
      </m:oMath>
    </w:p>
    <w:p w14:paraId="2352410C" w14:textId="07F57861" w:rsidR="00CA54CF" w:rsidRDefault="00AC6DD5" w:rsidP="00AC6DD5">
      <w:pPr>
        <w:spacing w:line="480" w:lineRule="auto"/>
        <w:jc w:val="both"/>
        <w:rPr>
          <w:lang w:val="es-CL"/>
        </w:rPr>
      </w:pPr>
      <w:r>
        <w:rPr>
          <w:lang w:val="es-CL"/>
        </w:rPr>
        <w:t>Esto indica que</w:t>
      </w:r>
      <w:r w:rsidR="00C65FCC">
        <w:rPr>
          <w:lang w:val="es-CL"/>
        </w:rPr>
        <w:t xml:space="preserve">, si la densidad </w:t>
      </w:r>
      <w:r w:rsidR="00D37DCD">
        <w:rPr>
          <w:lang w:val="es-CL"/>
        </w:rPr>
        <w:t xml:space="preserve">poblacional </w:t>
      </w:r>
      <w:r w:rsidR="00C65FCC">
        <w:rPr>
          <w:lang w:val="es-CL"/>
        </w:rPr>
        <w:t>de una comuna aumenta en 100, ocurren tres homicidios.</w:t>
      </w:r>
    </w:p>
    <w:p w14:paraId="0D6E374A" w14:textId="1F23E908" w:rsidR="00105D6E" w:rsidRDefault="00AE1EBD" w:rsidP="00AC6DD5">
      <w:pPr>
        <w:spacing w:line="480" w:lineRule="auto"/>
        <w:jc w:val="both"/>
        <w:rPr>
          <w:lang w:val="es-CL"/>
        </w:rPr>
      </w:pPr>
      <w:r>
        <w:rPr>
          <w:lang w:val="es-CL"/>
        </w:rPr>
        <w:t>Adicionalmente, se realizó la siguiente tabla:</w:t>
      </w:r>
    </w:p>
    <w:p w14:paraId="5B50CA4E" w14:textId="77777777" w:rsidR="003742C6" w:rsidRPr="003742C6" w:rsidRDefault="00105D6E" w:rsidP="00AC6DD5">
      <w:pPr>
        <w:spacing w:line="480" w:lineRule="auto"/>
        <w:jc w:val="both"/>
        <w:rPr>
          <w:lang w:val="es-CL"/>
        </w:rPr>
      </w:pPr>
      <w:r w:rsidRPr="00105D6E">
        <w:rPr>
          <w:noProof/>
          <w:lang w:val="es-C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DC3D18" wp14:editId="3700B351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3085106" cy="1404620"/>
                <wp:effectExtent l="0" t="0" r="0" b="0"/>
                <wp:wrapNone/>
                <wp:docPr id="16430801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510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BD983" w14:textId="7A0B0F22" w:rsidR="00105D6E" w:rsidRPr="00105D6E" w:rsidRDefault="00105D6E"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Tabla 1</w:t>
                            </w:r>
                            <w:r w:rsidR="00D46DCF">
                              <w:rPr>
                                <w:lang w:val="es-CL"/>
                              </w:rPr>
                              <w:t xml:space="preserve"> – Recopilación </w:t>
                            </w:r>
                            <w:r w:rsidR="000313C7">
                              <w:rPr>
                                <w:lang w:val="es-CL"/>
                              </w:rPr>
                              <w:t xml:space="preserve">de </w:t>
                            </w:r>
                            <w:r w:rsidR="00D46DCF">
                              <w:rPr>
                                <w:lang w:val="es-CL"/>
                              </w:rPr>
                              <w:t>datos de variables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DC3D18" id="_x0000_s1028" type="#_x0000_t202" style="position:absolute;left:0;text-align:left;margin-left:0;margin-top:1.25pt;width:242.9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" filled="f" stroked="f">
                <v:textbox style="mso-fit-shape-to-text:t">
                  <w:txbxContent>
                    <w:p w14:paraId="584BD983" w14:textId="7A0B0F22" w:rsidR="00105D6E" w:rsidRPr="00105D6E" w:rsidRDefault="00105D6E">
                      <w:p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Tabla 1</w:t>
                      </w:r>
                      <w:r w:rsidR="00D46DCF">
                        <w:rPr>
                          <w:lang w:val="es-CL"/>
                        </w:rPr>
                        <w:t xml:space="preserve"> – Recopilación </w:t>
                      </w:r>
                      <w:r w:rsidR="000313C7">
                        <w:rPr>
                          <w:lang w:val="es-CL"/>
                        </w:rPr>
                        <w:t xml:space="preserve">de </w:t>
                      </w:r>
                      <w:r w:rsidR="00D46DCF">
                        <w:rPr>
                          <w:lang w:val="es-CL"/>
                        </w:rPr>
                        <w:t>datos de variables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21E3">
        <w:rPr>
          <w:lang w:val="es-CL"/>
        </w:rPr>
        <w:fldChar w:fldCharType="begin"/>
      </w:r>
      <w:r w:rsidR="007F21E3">
        <w:rPr>
          <w:lang w:val="es-CL"/>
        </w:rPr>
        <w:instrText xml:space="preserve"> LINK </w:instrText>
      </w:r>
      <w:r w:rsidR="003742C6">
        <w:rPr>
          <w:lang w:val="es-CL"/>
        </w:rPr>
        <w:instrText xml:space="preserve">Excel.Sheet.12 "https://correouss-my.sharepoint.com/personal/farrietac_correo_uss_cl/Documents/Base de datos 2 - Solemne 3.xlsx" "Sin outlayers!F21C5:F23C9" </w:instrText>
      </w:r>
      <w:r w:rsidR="007F21E3">
        <w:rPr>
          <w:lang w:val="es-CL"/>
        </w:rPr>
        <w:instrText xml:space="preserve">\a \f 4 \h </w:instrText>
      </w:r>
      <w:r w:rsidR="00190171">
        <w:rPr>
          <w:lang w:val="es-CL"/>
        </w:rPr>
        <w:instrText xml:space="preserve"> \* MERGEFORMAT </w:instrText>
      </w:r>
      <w:r w:rsidR="003742C6">
        <w:rPr>
          <w:lang w:val="es-CL"/>
        </w:rPr>
        <w:fldChar w:fldCharType="separate"/>
      </w:r>
    </w:p>
    <w:tbl>
      <w:tblPr>
        <w:tblW w:w="70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8"/>
        <w:gridCol w:w="1440"/>
        <w:gridCol w:w="1240"/>
        <w:gridCol w:w="1240"/>
        <w:gridCol w:w="1240"/>
      </w:tblGrid>
      <w:tr w:rsidR="003742C6" w:rsidRPr="003742C6" w14:paraId="7710439B" w14:textId="77777777" w:rsidTr="003742C6">
        <w:trPr>
          <w:divId w:val="1537768723"/>
          <w:trHeight w:val="288"/>
        </w:trPr>
        <w:tc>
          <w:tcPr>
            <w:tcW w:w="192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F408259" w14:textId="34B294F2" w:rsidR="003742C6" w:rsidRPr="003742C6" w:rsidRDefault="003742C6" w:rsidP="003742C6">
            <w:pPr>
              <w:rPr>
                <w:rFonts w:eastAsia="Times New Roman"/>
                <w:b/>
                <w:bCs/>
                <w:color w:val="FFFFFF"/>
                <w:sz w:val="22"/>
                <w:szCs w:val="22"/>
                <w:lang w:val="es-CL" w:eastAsia="es-CL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2"/>
                <w:lang w:val="es-CL" w:eastAsia="es-CL"/>
              </w:rPr>
              <w:t>V</w:t>
            </w:r>
            <w:r w:rsidRPr="003742C6">
              <w:rPr>
                <w:rFonts w:eastAsia="Times New Roman"/>
                <w:b/>
                <w:bCs/>
                <w:color w:val="FFFFFF"/>
                <w:sz w:val="22"/>
                <w:szCs w:val="22"/>
                <w:lang w:val="es-CL" w:eastAsia="es-CL"/>
              </w:rPr>
              <w:t>ariables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8D58C0B" w14:textId="6E159821" w:rsidR="003742C6" w:rsidRPr="003742C6" w:rsidRDefault="003742C6" w:rsidP="003742C6">
            <w:pPr>
              <w:rPr>
                <w:rFonts w:eastAsia="Times New Roman"/>
                <w:b/>
                <w:bCs/>
                <w:color w:val="FFFFFF"/>
                <w:sz w:val="22"/>
                <w:szCs w:val="22"/>
                <w:lang w:val="es-CL" w:eastAsia="es-CL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2"/>
                <w:lang w:val="es-CL" w:eastAsia="es-CL"/>
              </w:rPr>
              <w:t>P</w:t>
            </w:r>
            <w:r w:rsidRPr="003742C6">
              <w:rPr>
                <w:rFonts w:eastAsia="Times New Roman"/>
                <w:b/>
                <w:bCs/>
                <w:color w:val="FFFFFF"/>
                <w:sz w:val="22"/>
                <w:szCs w:val="22"/>
                <w:lang w:val="es-CL" w:eastAsia="es-CL"/>
              </w:rPr>
              <w:t>romedio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36A3146" w14:textId="42417913" w:rsidR="003742C6" w:rsidRPr="003742C6" w:rsidRDefault="003742C6" w:rsidP="003742C6">
            <w:pPr>
              <w:rPr>
                <w:rFonts w:eastAsia="Times New Roman"/>
                <w:b/>
                <w:bCs/>
                <w:color w:val="FFFFFF"/>
                <w:sz w:val="22"/>
                <w:szCs w:val="22"/>
                <w:lang w:val="es-CL" w:eastAsia="es-CL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2"/>
                <w:lang w:val="es-CL" w:eastAsia="es-CL"/>
              </w:rPr>
              <w:t>De</w:t>
            </w:r>
            <w:r w:rsidRPr="003742C6">
              <w:rPr>
                <w:rFonts w:eastAsia="Times New Roman"/>
                <w:b/>
                <w:bCs/>
                <w:color w:val="FFFFFF"/>
                <w:sz w:val="22"/>
                <w:szCs w:val="22"/>
                <w:lang w:val="es-CL" w:eastAsia="es-CL"/>
              </w:rPr>
              <w:t xml:space="preserve">sviación </w:t>
            </w:r>
            <w:r w:rsidRPr="003742C6">
              <w:rPr>
                <w:rFonts w:eastAsia="Times New Roman"/>
                <w:b/>
                <w:bCs/>
                <w:color w:val="FFFFFF"/>
                <w:sz w:val="22"/>
                <w:szCs w:val="22"/>
                <w:lang w:val="es-CL" w:eastAsia="es-CL"/>
              </w:rPr>
              <w:t>estándar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BF13BDF" w14:textId="66C3D8AB" w:rsidR="003742C6" w:rsidRPr="003742C6" w:rsidRDefault="003742C6" w:rsidP="003742C6">
            <w:pPr>
              <w:rPr>
                <w:rFonts w:eastAsia="Times New Roman"/>
                <w:b/>
                <w:bCs/>
                <w:color w:val="FFFFFF"/>
                <w:sz w:val="22"/>
                <w:szCs w:val="22"/>
                <w:lang w:val="es-CL" w:eastAsia="es-CL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2"/>
                <w:lang w:val="es-CL" w:eastAsia="es-CL"/>
              </w:rPr>
              <w:t>M</w:t>
            </w:r>
            <w:r w:rsidRPr="003742C6">
              <w:rPr>
                <w:rFonts w:eastAsia="Times New Roman"/>
                <w:b/>
                <w:bCs/>
                <w:color w:val="FFFFFF"/>
                <w:sz w:val="22"/>
                <w:szCs w:val="22"/>
                <w:lang w:val="es-CL" w:eastAsia="es-CL"/>
              </w:rPr>
              <w:t>ínimo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092B400" w14:textId="1F01BDA6" w:rsidR="003742C6" w:rsidRPr="003742C6" w:rsidRDefault="003742C6" w:rsidP="003742C6">
            <w:pPr>
              <w:rPr>
                <w:rFonts w:eastAsia="Times New Roman"/>
                <w:b/>
                <w:bCs/>
                <w:color w:val="FFFFFF"/>
                <w:sz w:val="22"/>
                <w:szCs w:val="22"/>
                <w:lang w:val="es-CL" w:eastAsia="es-CL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2"/>
                <w:lang w:val="es-CL" w:eastAsia="es-CL"/>
              </w:rPr>
              <w:t>M</w:t>
            </w:r>
            <w:r w:rsidRPr="003742C6">
              <w:rPr>
                <w:rFonts w:eastAsia="Times New Roman"/>
                <w:b/>
                <w:bCs/>
                <w:color w:val="FFFFFF"/>
                <w:sz w:val="22"/>
                <w:szCs w:val="22"/>
                <w:lang w:val="es-CL" w:eastAsia="es-CL"/>
              </w:rPr>
              <w:t>áximo</w:t>
            </w:r>
          </w:p>
        </w:tc>
      </w:tr>
      <w:tr w:rsidR="003742C6" w:rsidRPr="003742C6" w14:paraId="7F396580" w14:textId="77777777" w:rsidTr="003742C6">
        <w:trPr>
          <w:divId w:val="1537768723"/>
          <w:trHeight w:val="288"/>
        </w:trPr>
        <w:tc>
          <w:tcPr>
            <w:tcW w:w="192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FE88D2" w14:textId="33D0DC0F" w:rsidR="003742C6" w:rsidRPr="003742C6" w:rsidRDefault="003742C6" w:rsidP="003742C6">
            <w:pPr>
              <w:rPr>
                <w:rFonts w:eastAsia="Times New Roman"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s-CL" w:eastAsia="es-CL"/>
              </w:rPr>
              <w:t>D</w:t>
            </w:r>
            <w:r w:rsidRPr="003742C6">
              <w:rPr>
                <w:rFonts w:eastAsia="Times New Roman"/>
                <w:color w:val="000000"/>
                <w:sz w:val="22"/>
                <w:szCs w:val="22"/>
                <w:lang w:val="es-CL" w:eastAsia="es-CL"/>
              </w:rPr>
              <w:t>ensidad poblacional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D3AF56" w14:textId="77777777" w:rsidR="003742C6" w:rsidRPr="003742C6" w:rsidRDefault="003742C6" w:rsidP="003742C6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CL" w:eastAsia="es-CL"/>
              </w:rPr>
            </w:pPr>
            <w:r w:rsidRPr="003742C6">
              <w:rPr>
                <w:rFonts w:eastAsia="Times New Roman"/>
                <w:color w:val="000000"/>
                <w:sz w:val="22"/>
                <w:szCs w:val="22"/>
                <w:lang w:val="es-CL" w:eastAsia="es-CL"/>
              </w:rPr>
              <w:t>901,1921283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FA6848" w14:textId="77777777" w:rsidR="003742C6" w:rsidRPr="003742C6" w:rsidRDefault="003742C6" w:rsidP="003742C6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CL" w:eastAsia="es-CL"/>
              </w:rPr>
            </w:pPr>
            <w:r w:rsidRPr="003742C6">
              <w:rPr>
                <w:rFonts w:eastAsia="Times New Roman"/>
                <w:color w:val="000000"/>
                <w:sz w:val="22"/>
                <w:szCs w:val="22"/>
                <w:lang w:val="es-CL" w:eastAsia="es-CL"/>
              </w:rPr>
              <w:t>2766,03143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7F7D88" w14:textId="77777777" w:rsidR="003742C6" w:rsidRPr="003742C6" w:rsidRDefault="003742C6" w:rsidP="003742C6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CL" w:eastAsia="es-CL"/>
              </w:rPr>
            </w:pPr>
            <w:r w:rsidRPr="003742C6">
              <w:rPr>
                <w:rFonts w:eastAsia="Times New Roman"/>
                <w:color w:val="000000"/>
                <w:sz w:val="22"/>
                <w:szCs w:val="22"/>
                <w:lang w:val="es-CL" w:eastAsia="es-CL"/>
              </w:rPr>
              <w:t>0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FF890B" w14:textId="77777777" w:rsidR="003742C6" w:rsidRPr="003742C6" w:rsidRDefault="003742C6" w:rsidP="003742C6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CL" w:eastAsia="es-CL"/>
              </w:rPr>
            </w:pPr>
            <w:r w:rsidRPr="003742C6">
              <w:rPr>
                <w:rFonts w:eastAsia="Times New Roman"/>
                <w:color w:val="000000"/>
                <w:sz w:val="22"/>
                <w:szCs w:val="22"/>
                <w:lang w:val="es-CL" w:eastAsia="es-CL"/>
              </w:rPr>
              <w:t>17485,2</w:t>
            </w:r>
          </w:p>
        </w:tc>
      </w:tr>
      <w:tr w:rsidR="003742C6" w:rsidRPr="003742C6" w14:paraId="59E4FEC3" w14:textId="77777777" w:rsidTr="003742C6">
        <w:trPr>
          <w:divId w:val="1537768723"/>
          <w:trHeight w:val="599"/>
        </w:trPr>
        <w:tc>
          <w:tcPr>
            <w:tcW w:w="192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F7DF1A" w14:textId="31B00532" w:rsidR="003742C6" w:rsidRPr="003742C6" w:rsidRDefault="003742C6" w:rsidP="003742C6">
            <w:pPr>
              <w:rPr>
                <w:rFonts w:eastAsia="Times New Roman"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s-CL" w:eastAsia="es-CL"/>
              </w:rPr>
              <w:t>T</w:t>
            </w:r>
            <w:r w:rsidRPr="003742C6">
              <w:rPr>
                <w:rFonts w:eastAsia="Times New Roman"/>
                <w:color w:val="000000"/>
                <w:sz w:val="22"/>
                <w:szCs w:val="22"/>
                <w:lang w:val="es-CL" w:eastAsia="es-CL"/>
              </w:rPr>
              <w:t>asa de homicidios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36CF2C" w14:textId="77777777" w:rsidR="003742C6" w:rsidRPr="003742C6" w:rsidRDefault="003742C6" w:rsidP="003742C6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CL" w:eastAsia="es-CL"/>
              </w:rPr>
            </w:pPr>
            <w:r w:rsidRPr="003742C6">
              <w:rPr>
                <w:rFonts w:eastAsia="Times New Roman"/>
                <w:color w:val="000000"/>
                <w:sz w:val="22"/>
                <w:szCs w:val="22"/>
                <w:lang w:val="es-CL" w:eastAsia="es-CL"/>
              </w:rPr>
              <w:t>3,647813411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B6A5F2" w14:textId="77777777" w:rsidR="003742C6" w:rsidRPr="003742C6" w:rsidRDefault="003742C6" w:rsidP="003742C6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CL" w:eastAsia="es-CL"/>
              </w:rPr>
            </w:pPr>
            <w:r w:rsidRPr="003742C6">
              <w:rPr>
                <w:rFonts w:eastAsia="Times New Roman"/>
                <w:color w:val="000000"/>
                <w:sz w:val="22"/>
                <w:szCs w:val="22"/>
                <w:lang w:val="es-CL" w:eastAsia="es-CL"/>
              </w:rPr>
              <w:t>5,11541537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092262" w14:textId="77777777" w:rsidR="003742C6" w:rsidRPr="003742C6" w:rsidRDefault="003742C6" w:rsidP="003742C6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CL" w:eastAsia="es-CL"/>
              </w:rPr>
            </w:pPr>
            <w:r w:rsidRPr="003742C6">
              <w:rPr>
                <w:rFonts w:eastAsia="Times New Roman"/>
                <w:color w:val="000000"/>
                <w:sz w:val="22"/>
                <w:szCs w:val="22"/>
                <w:lang w:val="es-CL" w:eastAsia="es-CL"/>
              </w:rPr>
              <w:t>0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B78F1E7" w14:textId="77777777" w:rsidR="003742C6" w:rsidRPr="003742C6" w:rsidRDefault="003742C6" w:rsidP="003742C6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CL" w:eastAsia="es-CL"/>
              </w:rPr>
            </w:pPr>
            <w:r w:rsidRPr="003742C6">
              <w:rPr>
                <w:rFonts w:eastAsia="Times New Roman"/>
                <w:color w:val="000000"/>
                <w:sz w:val="22"/>
                <w:szCs w:val="22"/>
                <w:lang w:val="es-CL" w:eastAsia="es-CL"/>
              </w:rPr>
              <w:t>35,7</w:t>
            </w:r>
          </w:p>
        </w:tc>
      </w:tr>
    </w:tbl>
    <w:p w14:paraId="6E174299" w14:textId="7E992983" w:rsidR="00AE1EBD" w:rsidRDefault="007F21E3" w:rsidP="00AC6DD5">
      <w:pPr>
        <w:spacing w:line="480" w:lineRule="auto"/>
        <w:jc w:val="both"/>
        <w:rPr>
          <w:lang w:val="es-CL"/>
        </w:rPr>
      </w:pPr>
      <w:r>
        <w:rPr>
          <w:lang w:val="es-CL"/>
        </w:rPr>
        <w:fldChar w:fldCharType="end"/>
      </w:r>
      <w:r w:rsidR="003742C6" w:rsidRPr="00CA54CF">
        <w:rPr>
          <w:b/>
          <w:bCs/>
          <w:noProof/>
          <w:lang w:val="es-CL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4DA7A21" wp14:editId="5C8C216C">
                <wp:simplePos x="0" y="0"/>
                <wp:positionH relativeFrom="margin">
                  <wp:posOffset>0</wp:posOffset>
                </wp:positionH>
                <wp:positionV relativeFrom="paragraph">
                  <wp:posOffset>45720</wp:posOffset>
                </wp:positionV>
                <wp:extent cx="4956048" cy="310896"/>
                <wp:effectExtent l="0" t="0" r="0" b="0"/>
                <wp:wrapNone/>
                <wp:docPr id="4265870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6048" cy="3108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9218E" w14:textId="77777777" w:rsidR="003742C6" w:rsidRPr="00CA54CF" w:rsidRDefault="003742C6" w:rsidP="003742C6"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Fuente: Elaboración propia en base a datos del Censo (2017) y CEAD (2023)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A7A21" id="_x0000_s1029" type="#_x0000_t202" style="position:absolute;left:0;text-align:left;margin-left:0;margin-top:3.6pt;width:390.25pt;height:24.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" filled="f" stroked="f">
                <v:textbox>
                  <w:txbxContent>
                    <w:p w14:paraId="4649218E" w14:textId="77777777" w:rsidR="003742C6" w:rsidRPr="00CA54CF" w:rsidRDefault="003742C6" w:rsidP="003742C6">
                      <w:p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Fuente: Elaboración propia en base a datos del Censo (2017) y CEAD (2023)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95A3AC" w14:textId="77777777" w:rsidR="00105D6E" w:rsidRDefault="00105D6E" w:rsidP="00AC6DD5">
      <w:pPr>
        <w:spacing w:line="480" w:lineRule="auto"/>
        <w:jc w:val="both"/>
        <w:rPr>
          <w:lang w:val="es-CL"/>
        </w:rPr>
      </w:pPr>
    </w:p>
    <w:p w14:paraId="0D9136B8" w14:textId="266BF3CC" w:rsidR="000110B1" w:rsidRDefault="00375F30" w:rsidP="00AC6DD5">
      <w:pPr>
        <w:spacing w:line="480" w:lineRule="auto"/>
        <w:jc w:val="both"/>
        <w:rPr>
          <w:rFonts w:eastAsiaTheme="minorEastAsia"/>
          <w:lang w:val="es-CL"/>
        </w:rPr>
      </w:pPr>
      <w:r>
        <w:rPr>
          <w:lang w:val="es-CL"/>
        </w:rPr>
        <w:t xml:space="preserve">Como se aprecia, </w:t>
      </w:r>
      <w:r w:rsidR="00794196">
        <w:rPr>
          <w:lang w:val="es-CL"/>
        </w:rPr>
        <w:t xml:space="preserve">en cuanto a la variable independiente </w:t>
      </w:r>
      <w:r>
        <w:rPr>
          <w:lang w:val="es-CL"/>
        </w:rPr>
        <w:t>el promedio de densidad poblacional es de 901</w:t>
      </w:r>
      <w:r w:rsidR="00E4312A">
        <w:rPr>
          <w:lang w:val="es-CL"/>
        </w:rPr>
        <w:t xml:space="preserve">,12 habitantes por </w:t>
      </w:r>
      <m:oMath>
        <m:r>
          <w:rPr>
            <w:rFonts w:ascii="Cambria Math" w:hAnsi="Cambria Math"/>
            <w:lang w:val="es-CL"/>
          </w:rPr>
          <m:t>km2</m:t>
        </m:r>
      </m:oMath>
      <w:r w:rsidR="00E4312A">
        <w:rPr>
          <w:rFonts w:eastAsiaTheme="minorEastAsia"/>
          <w:lang w:val="es-CL"/>
        </w:rPr>
        <w:t xml:space="preserve">, </w:t>
      </w:r>
      <w:r w:rsidR="00794196">
        <w:rPr>
          <w:rFonts w:eastAsiaTheme="minorEastAsia"/>
          <w:lang w:val="es-CL"/>
        </w:rPr>
        <w:t xml:space="preserve">tiene una desviación estándar de </w:t>
      </w:r>
      <w:r w:rsidR="00611FF3">
        <w:rPr>
          <w:rFonts w:eastAsiaTheme="minorEastAsia"/>
          <w:lang w:val="es-CL"/>
        </w:rPr>
        <w:t>27</w:t>
      </w:r>
      <w:r w:rsidR="00CD738C">
        <w:rPr>
          <w:rFonts w:eastAsiaTheme="minorEastAsia"/>
          <w:lang w:val="es-CL"/>
        </w:rPr>
        <w:t>66 y el punto máximo es de 17</w:t>
      </w:r>
      <w:r w:rsidR="00CD259C">
        <w:rPr>
          <w:rFonts w:eastAsiaTheme="minorEastAsia"/>
          <w:lang w:val="es-CL"/>
        </w:rPr>
        <w:t xml:space="preserve">485,2, correspondiente a </w:t>
      </w:r>
      <w:r w:rsidR="00FC698E">
        <w:rPr>
          <w:rFonts w:eastAsiaTheme="minorEastAsia"/>
          <w:lang w:val="es-CL"/>
        </w:rPr>
        <w:t xml:space="preserve">la comuna de </w:t>
      </w:r>
      <w:r w:rsidR="00FC698E" w:rsidRPr="00014FE8">
        <w:rPr>
          <w:rFonts w:eastAsiaTheme="minorEastAsia"/>
          <w:b/>
          <w:bCs/>
          <w:lang w:val="es-CL"/>
        </w:rPr>
        <w:t>Santiago</w:t>
      </w:r>
      <w:r w:rsidR="002F47E2">
        <w:rPr>
          <w:rFonts w:eastAsiaTheme="minorEastAsia"/>
          <w:lang w:val="es-CL"/>
        </w:rPr>
        <w:t>, ubicada en la región Metropolitana.</w:t>
      </w:r>
    </w:p>
    <w:p w14:paraId="7D79976A" w14:textId="6F6D310C" w:rsidR="002F47E2" w:rsidRDefault="002F47E2" w:rsidP="00AC6DD5">
      <w:pPr>
        <w:spacing w:line="480" w:lineRule="auto"/>
        <w:jc w:val="both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Por otro lado, en la variable dependiente</w:t>
      </w:r>
      <w:r w:rsidR="000F66BF">
        <w:rPr>
          <w:rFonts w:eastAsiaTheme="minorEastAsia"/>
          <w:lang w:val="es-CL"/>
        </w:rPr>
        <w:t>,</w:t>
      </w:r>
      <w:r w:rsidR="000D35A3">
        <w:rPr>
          <w:rFonts w:eastAsiaTheme="minorEastAsia"/>
          <w:lang w:val="es-CL"/>
        </w:rPr>
        <w:t xml:space="preserve"> la tasa de homicidios promedio es de 3,647 cada 100.000 habitantes, tiene una desviación estándar de </w:t>
      </w:r>
      <w:r w:rsidR="008970B7">
        <w:rPr>
          <w:rFonts w:eastAsiaTheme="minorEastAsia"/>
          <w:lang w:val="es-CL"/>
        </w:rPr>
        <w:t>5,115</w:t>
      </w:r>
      <w:r w:rsidR="002D2245">
        <w:rPr>
          <w:rFonts w:eastAsiaTheme="minorEastAsia"/>
          <w:lang w:val="es-CL"/>
        </w:rPr>
        <w:t xml:space="preserve"> y el punto máximo es de 35,7, correspondiente a la comuna </w:t>
      </w:r>
      <w:r w:rsidR="000B166D">
        <w:rPr>
          <w:rFonts w:eastAsiaTheme="minorEastAsia"/>
          <w:lang w:val="es-CL"/>
        </w:rPr>
        <w:t xml:space="preserve">de </w:t>
      </w:r>
      <w:r w:rsidR="000B166D" w:rsidRPr="00014FE8">
        <w:rPr>
          <w:rFonts w:eastAsiaTheme="minorEastAsia"/>
          <w:b/>
          <w:bCs/>
          <w:lang w:val="es-CL"/>
        </w:rPr>
        <w:t>Ercilla</w:t>
      </w:r>
      <w:r w:rsidR="000B166D">
        <w:rPr>
          <w:rFonts w:eastAsiaTheme="minorEastAsia"/>
          <w:lang w:val="es-CL"/>
        </w:rPr>
        <w:t xml:space="preserve">, ubicada en la región de La Araucanía. </w:t>
      </w:r>
    </w:p>
    <w:p w14:paraId="7BBEA2A9" w14:textId="44CDA1FC" w:rsidR="00014FE8" w:rsidRDefault="00014FE8" w:rsidP="00AC6DD5">
      <w:pPr>
        <w:spacing w:line="480" w:lineRule="auto"/>
        <w:jc w:val="both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De igual forma</w:t>
      </w:r>
      <w:r w:rsidR="00FF40B1">
        <w:rPr>
          <w:rFonts w:eastAsiaTheme="minorEastAsia"/>
          <w:lang w:val="es-CL"/>
        </w:rPr>
        <w:t xml:space="preserve">, </w:t>
      </w:r>
      <w:r w:rsidR="00F35B98">
        <w:rPr>
          <w:rFonts w:eastAsiaTheme="minorEastAsia"/>
          <w:lang w:val="es-CL"/>
        </w:rPr>
        <w:t xml:space="preserve">gran parte de los puntos </w:t>
      </w:r>
      <w:r w:rsidR="00747E3B">
        <w:rPr>
          <w:rFonts w:eastAsiaTheme="minorEastAsia"/>
          <w:lang w:val="es-CL"/>
        </w:rPr>
        <w:t>se encuentran concentrados en el 0 del eje x</w:t>
      </w:r>
      <w:r w:rsidR="00E22592">
        <w:rPr>
          <w:rFonts w:eastAsiaTheme="minorEastAsia"/>
          <w:lang w:val="es-CL"/>
        </w:rPr>
        <w:t>.</w:t>
      </w:r>
      <w:r w:rsidR="00747E3B">
        <w:rPr>
          <w:rFonts w:eastAsiaTheme="minorEastAsia"/>
          <w:lang w:val="es-CL"/>
        </w:rPr>
        <w:t xml:space="preserve"> </w:t>
      </w:r>
    </w:p>
    <w:p w14:paraId="10634FCA" w14:textId="1FF55A8E" w:rsidR="00CA54CF" w:rsidRPr="00B838B6" w:rsidRDefault="00175A40" w:rsidP="00B838B6">
      <w:pPr>
        <w:spacing w:line="480" w:lineRule="auto"/>
        <w:jc w:val="both"/>
        <w:rPr>
          <w:lang w:val="es-CL"/>
        </w:rPr>
      </w:pPr>
      <w:r>
        <w:rPr>
          <w:rFonts w:eastAsiaTheme="minorEastAsia"/>
          <w:lang w:val="es-CL"/>
        </w:rPr>
        <w:t xml:space="preserve">El análisis de los resultados será </w:t>
      </w:r>
      <w:r w:rsidR="00B838B6">
        <w:rPr>
          <w:rFonts w:eastAsiaTheme="minorEastAsia"/>
          <w:lang w:val="es-CL"/>
        </w:rPr>
        <w:t>presentado a continuación.</w:t>
      </w:r>
    </w:p>
    <w:p w14:paraId="7BAF1F8A" w14:textId="77777777" w:rsidR="00CA54CF" w:rsidRPr="00B838B6" w:rsidRDefault="00CA54CF" w:rsidP="00B838B6">
      <w:pPr>
        <w:spacing w:line="480" w:lineRule="auto"/>
        <w:jc w:val="both"/>
        <w:rPr>
          <w:lang w:val="es-CL"/>
        </w:rPr>
      </w:pPr>
    </w:p>
    <w:p w14:paraId="799ECA75" w14:textId="13AE3032" w:rsidR="00FE77CA" w:rsidRDefault="00FE77CA" w:rsidP="00D24524">
      <w:pPr>
        <w:spacing w:line="480" w:lineRule="auto"/>
        <w:jc w:val="both"/>
        <w:rPr>
          <w:b/>
          <w:bCs/>
          <w:lang w:val="es-CL"/>
        </w:rPr>
      </w:pPr>
      <w:r>
        <w:rPr>
          <w:b/>
          <w:bCs/>
          <w:lang w:val="es-CL"/>
        </w:rPr>
        <w:t>8. Discusiones</w:t>
      </w:r>
    </w:p>
    <w:p w14:paraId="64438596" w14:textId="6275FBBA" w:rsidR="00D24524" w:rsidRDefault="00A4749E" w:rsidP="00D24524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En base a </w:t>
      </w:r>
      <w:r w:rsidR="00AA45DA">
        <w:rPr>
          <w:lang w:val="es-CL"/>
        </w:rPr>
        <w:t xml:space="preserve">la evidencia expuesta y respondiendo a la pregunta que ha guiado esta investigación: </w:t>
      </w:r>
      <w:r w:rsidR="00DE2D19">
        <w:rPr>
          <w:lang w:val="es-CL"/>
        </w:rPr>
        <w:t xml:space="preserve">sí existe relación entre la densidad poblacional de una comuna y la tasa de homicidios. </w:t>
      </w:r>
    </w:p>
    <w:p w14:paraId="3288533B" w14:textId="4BF24DD8" w:rsidR="00DE2D19" w:rsidRDefault="00DE2D19" w:rsidP="00D24524">
      <w:pPr>
        <w:spacing w:line="480" w:lineRule="auto"/>
        <w:jc w:val="both"/>
        <w:rPr>
          <w:lang w:val="es-CL"/>
        </w:rPr>
      </w:pPr>
      <w:r>
        <w:rPr>
          <w:lang w:val="es-CL"/>
        </w:rPr>
        <w:lastRenderedPageBreak/>
        <w:t xml:space="preserve">Los datos coinciden con </w:t>
      </w:r>
      <w:r w:rsidR="00093A17">
        <w:rPr>
          <w:lang w:val="es-CL"/>
        </w:rPr>
        <w:t xml:space="preserve">gran parte de los textos utilizados en el marco teórico, pues, efectivamente, la densidad poblacional </w:t>
      </w:r>
      <w:r w:rsidR="00B30C54">
        <w:rPr>
          <w:lang w:val="es-CL"/>
        </w:rPr>
        <w:t>es una variable que considerar para explicar la tasa de homicidios, pero se limita solo a eso</w:t>
      </w:r>
      <w:r w:rsidR="00671697">
        <w:rPr>
          <w:lang w:val="es-CL"/>
        </w:rPr>
        <w:t>, ser una variable y no una causa directa.</w:t>
      </w:r>
    </w:p>
    <w:p w14:paraId="0D8F19E1" w14:textId="10388CAC" w:rsidR="00B30C54" w:rsidRDefault="008C7632" w:rsidP="00D24524">
      <w:pPr>
        <w:spacing w:line="480" w:lineRule="auto"/>
        <w:jc w:val="both"/>
        <w:rPr>
          <w:lang w:val="es-CL"/>
        </w:rPr>
      </w:pPr>
      <w:r>
        <w:rPr>
          <w:lang w:val="es-CL"/>
        </w:rPr>
        <w:t>En base a los textos recopilados, se debe tener en consideración que existe más de una variable influyente</w:t>
      </w:r>
      <w:r w:rsidR="00F134E2">
        <w:rPr>
          <w:lang w:val="es-CL"/>
        </w:rPr>
        <w:t xml:space="preserve"> para darle una explicación a los homicidios. La teoría más acertada sería la utilizada por Vargas</w:t>
      </w:r>
      <w:r w:rsidR="002F0C81">
        <w:rPr>
          <w:lang w:val="es-CL"/>
        </w:rPr>
        <w:t xml:space="preserve"> (2021)</w:t>
      </w:r>
      <w:r w:rsidR="00F134E2">
        <w:rPr>
          <w:lang w:val="es-CL"/>
        </w:rPr>
        <w:t>, pues considera la combinación de las variables como la razón de que aumenten las actividades criminales</w:t>
      </w:r>
      <w:r w:rsidR="00220D8C">
        <w:rPr>
          <w:lang w:val="es-CL"/>
        </w:rPr>
        <w:t xml:space="preserve"> y no cada variable por separado como causal directa.</w:t>
      </w:r>
    </w:p>
    <w:p w14:paraId="46D3E3EA" w14:textId="2D577FD3" w:rsidR="001405DF" w:rsidRDefault="00F134E2" w:rsidP="00D24524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En el caso de Chile, </w:t>
      </w:r>
      <w:r w:rsidR="00CA395F">
        <w:rPr>
          <w:lang w:val="es-CL"/>
        </w:rPr>
        <w:t xml:space="preserve">son muchos los factores que pueden influir en el índice de criminalidad </w:t>
      </w:r>
      <w:r w:rsidR="005367F0">
        <w:rPr>
          <w:lang w:val="es-CL"/>
        </w:rPr>
        <w:t>y en la tasa de homicidios,</w:t>
      </w:r>
      <w:r w:rsidR="00E973CD">
        <w:rPr>
          <w:lang w:val="es-CL"/>
        </w:rPr>
        <w:t xml:space="preserve"> pues cada comuna es muy distinta entre sí</w:t>
      </w:r>
      <w:r w:rsidR="00090491">
        <w:rPr>
          <w:lang w:val="es-CL"/>
        </w:rPr>
        <w:t>. E</w:t>
      </w:r>
      <w:r w:rsidR="00D47C99">
        <w:rPr>
          <w:lang w:val="es-CL"/>
        </w:rPr>
        <w:t>stas diferencias son aún más notorias entre la</w:t>
      </w:r>
      <w:r w:rsidR="00CA3059">
        <w:rPr>
          <w:lang w:val="es-CL"/>
        </w:rPr>
        <w:t xml:space="preserve"> Región Metropolitana y las regiones externas, debe considerarse que incluso dentro de la misma </w:t>
      </w:r>
      <w:r w:rsidR="00144E88">
        <w:rPr>
          <w:lang w:val="es-CL"/>
        </w:rPr>
        <w:t xml:space="preserve">Región Metropolitana </w:t>
      </w:r>
      <w:r w:rsidR="006D0AF4">
        <w:rPr>
          <w:lang w:val="es-CL"/>
        </w:rPr>
        <w:t xml:space="preserve">la </w:t>
      </w:r>
      <w:r w:rsidR="00604A8B">
        <w:rPr>
          <w:lang w:val="es-CL"/>
        </w:rPr>
        <w:t xml:space="preserve">desigualdad entre las comunas céntricas y </w:t>
      </w:r>
      <w:r w:rsidR="001405DF">
        <w:rPr>
          <w:lang w:val="es-CL"/>
        </w:rPr>
        <w:t>las urbanas es abismal.</w:t>
      </w:r>
    </w:p>
    <w:p w14:paraId="69B8E0E6" w14:textId="308B5CAC" w:rsidR="00F134E2" w:rsidRDefault="001405DF" w:rsidP="00D24524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Algunas de las variables que pueden influir </w:t>
      </w:r>
      <w:r w:rsidR="006D0AF4">
        <w:rPr>
          <w:lang w:val="es-CL"/>
        </w:rPr>
        <w:t xml:space="preserve">en cualquier </w:t>
      </w:r>
      <w:r>
        <w:rPr>
          <w:lang w:val="es-CL"/>
        </w:rPr>
        <w:t>son:</w:t>
      </w:r>
      <w:r w:rsidR="005367F0">
        <w:rPr>
          <w:lang w:val="es-CL"/>
        </w:rPr>
        <w:t xml:space="preserve"> la seguridad, los ingresos de la comuna, la presencia de bandas ligadas al narcotráfico y otras actividades ilícitas</w:t>
      </w:r>
      <w:r w:rsidR="00947D49">
        <w:rPr>
          <w:lang w:val="es-CL"/>
        </w:rPr>
        <w:t>.</w:t>
      </w:r>
      <w:r w:rsidR="00526B6C">
        <w:rPr>
          <w:lang w:val="es-CL"/>
        </w:rPr>
        <w:t xml:space="preserve"> La ruralidad también puede ser considerada como una variable relevante</w:t>
      </w:r>
      <w:r w:rsidR="00BE053A">
        <w:rPr>
          <w:lang w:val="es-CL"/>
        </w:rPr>
        <w:t>.</w:t>
      </w:r>
    </w:p>
    <w:p w14:paraId="550282CF" w14:textId="330189B9" w:rsidR="00BE053A" w:rsidRDefault="00947D49" w:rsidP="00D24524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Por lo mismo </w:t>
      </w:r>
      <w:r w:rsidR="00701E58">
        <w:rPr>
          <w:lang w:val="es-CL"/>
        </w:rPr>
        <w:t>muchos puntos podían variar su posición en el eje y, mas en el eje x se mantenían en el 0</w:t>
      </w:r>
      <w:r w:rsidR="00C949DE">
        <w:rPr>
          <w:lang w:val="es-CL"/>
        </w:rPr>
        <w:t xml:space="preserve">. </w:t>
      </w:r>
      <w:r w:rsidR="002D4CB8">
        <w:rPr>
          <w:lang w:val="es-CL"/>
        </w:rPr>
        <w:t xml:space="preserve">La mayor limitación de esta investigación ha sido </w:t>
      </w:r>
      <w:r w:rsidR="00C85EA4">
        <w:rPr>
          <w:lang w:val="es-CL"/>
        </w:rPr>
        <w:t>el no contar con múltiples variables para analizar como las mencionadas anteriormente.</w:t>
      </w:r>
    </w:p>
    <w:p w14:paraId="054A2B4F" w14:textId="39D8200F" w:rsidR="006569B3" w:rsidRPr="00D24524" w:rsidRDefault="00C85EA4" w:rsidP="00D24524">
      <w:pPr>
        <w:spacing w:line="480" w:lineRule="auto"/>
        <w:jc w:val="both"/>
        <w:rPr>
          <w:lang w:val="es-CL"/>
        </w:rPr>
      </w:pPr>
      <w:r>
        <w:rPr>
          <w:lang w:val="es-CL"/>
        </w:rPr>
        <w:t>A pesar de esto,</w:t>
      </w:r>
      <w:r w:rsidR="0072159D">
        <w:rPr>
          <w:lang w:val="es-CL"/>
        </w:rPr>
        <w:t xml:space="preserve"> la investigación puede servir como un punto de partida para identifica</w:t>
      </w:r>
      <w:r w:rsidR="006C0C1F">
        <w:rPr>
          <w:lang w:val="es-CL"/>
        </w:rPr>
        <w:t xml:space="preserve">r los elementos que tengan en común las comunas donde sí se da esta relación entre densidad poblacional y tasa de homicidios, mientras que en las comunas </w:t>
      </w:r>
      <w:r w:rsidR="008C491A">
        <w:rPr>
          <w:lang w:val="es-CL"/>
        </w:rPr>
        <w:t xml:space="preserve">outlayers que debieron ser eliminadas, debe realizarse un estudio con urgencia para determinar la causa de semejantes cifras. </w:t>
      </w:r>
    </w:p>
    <w:p w14:paraId="5C5BF82C" w14:textId="77777777" w:rsidR="00FE77CA" w:rsidRPr="006569B3" w:rsidRDefault="00FE77CA" w:rsidP="006569B3">
      <w:pPr>
        <w:spacing w:line="480" w:lineRule="auto"/>
        <w:jc w:val="both"/>
        <w:rPr>
          <w:lang w:val="es-CL"/>
        </w:rPr>
      </w:pPr>
    </w:p>
    <w:p w14:paraId="4A3E480F" w14:textId="6BD01B54" w:rsidR="00FE77CA" w:rsidRDefault="00FE77CA" w:rsidP="00BF2829">
      <w:pPr>
        <w:rPr>
          <w:b/>
          <w:bCs/>
          <w:lang w:val="es-CL"/>
        </w:rPr>
      </w:pPr>
      <w:r>
        <w:rPr>
          <w:b/>
          <w:bCs/>
          <w:lang w:val="es-CL"/>
        </w:rPr>
        <w:lastRenderedPageBreak/>
        <w:t xml:space="preserve">9. </w:t>
      </w:r>
      <w:r w:rsidR="00AB622A">
        <w:rPr>
          <w:b/>
          <w:bCs/>
          <w:lang w:val="es-CL"/>
        </w:rPr>
        <w:t>Conclusiones</w:t>
      </w:r>
    </w:p>
    <w:p w14:paraId="2CA4F145" w14:textId="77777777" w:rsidR="00AB622A" w:rsidRDefault="00AB622A" w:rsidP="002E45C7">
      <w:pPr>
        <w:spacing w:line="480" w:lineRule="auto"/>
        <w:jc w:val="both"/>
        <w:rPr>
          <w:b/>
          <w:bCs/>
          <w:lang w:val="es-CL"/>
        </w:rPr>
      </w:pPr>
    </w:p>
    <w:p w14:paraId="015356B2" w14:textId="0534F952" w:rsidR="00AB622A" w:rsidRDefault="001D3877" w:rsidP="002E45C7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Para sintetizar, en el marco teórico se encontró que la densidad poblacional, en conjunto con otras variables, </w:t>
      </w:r>
      <w:r w:rsidR="006A31AB">
        <w:rPr>
          <w:lang w:val="es-CL"/>
        </w:rPr>
        <w:t>significan un aumento en la tasa de homicidios, esto a nivel nacional y local.</w:t>
      </w:r>
    </w:p>
    <w:p w14:paraId="22142D27" w14:textId="66BD1527" w:rsidR="006A31AB" w:rsidRDefault="009C117D" w:rsidP="002E45C7">
      <w:pPr>
        <w:spacing w:line="480" w:lineRule="auto"/>
        <w:jc w:val="both"/>
        <w:rPr>
          <w:lang w:val="es-CL"/>
        </w:rPr>
      </w:pPr>
      <w:r>
        <w:rPr>
          <w:lang w:val="es-CL"/>
        </w:rPr>
        <w:t>La hipótesis se cumple, pero es necesario realizar una investigación más amplia que cubra más variables de ámbitos demográficos, sociales y económicos.</w:t>
      </w:r>
    </w:p>
    <w:p w14:paraId="293C773B" w14:textId="10DC3217" w:rsidR="009C117D" w:rsidRDefault="00D0461C" w:rsidP="002E45C7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En base al análisis del gráfico, </w:t>
      </w:r>
      <w:r w:rsidR="000D345E">
        <w:rPr>
          <w:lang w:val="es-CL"/>
        </w:rPr>
        <w:t>se estima que, aún considerando más variable</w:t>
      </w:r>
      <w:r w:rsidR="00C85F2A">
        <w:rPr>
          <w:lang w:val="es-CL"/>
        </w:rPr>
        <w:t>s</w:t>
      </w:r>
      <w:r w:rsidR="000D345E">
        <w:rPr>
          <w:lang w:val="es-CL"/>
        </w:rPr>
        <w:t xml:space="preserve">, sigan existiendo outlayers, pues </w:t>
      </w:r>
      <w:r w:rsidR="006C527B">
        <w:rPr>
          <w:lang w:val="es-CL"/>
        </w:rPr>
        <w:t xml:space="preserve">la diferencia </w:t>
      </w:r>
      <w:r w:rsidR="00FB7623">
        <w:rPr>
          <w:lang w:val="es-CL"/>
        </w:rPr>
        <w:t>entre la tasa de homicidios de algunas comunas y la densidad poblacional es muy elevada, lo que sugiere la existencia de más casos excepcionales como La Estrella y Colchane</w:t>
      </w:r>
      <w:r w:rsidR="00E9242A">
        <w:rPr>
          <w:lang w:val="es-CL"/>
        </w:rPr>
        <w:t>.</w:t>
      </w:r>
    </w:p>
    <w:p w14:paraId="79456C92" w14:textId="29AE40C1" w:rsidR="0064495C" w:rsidRDefault="00560B11" w:rsidP="002E45C7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Incluso Ercilla, la comuna con la mayor tasa de homicidios, puede tratarse de una situación excepcional (u outlayer), pues </w:t>
      </w:r>
      <w:r w:rsidR="005C3AC1">
        <w:rPr>
          <w:lang w:val="es-CL"/>
        </w:rPr>
        <w:t xml:space="preserve">esta tiene una densidad de 15,5, cifra bastante alejada de otras comunas donde se representa mejor la relación de las variables. En el caso de esta comuna, </w:t>
      </w:r>
      <w:r w:rsidR="009F3A09">
        <w:rPr>
          <w:lang w:val="es-CL"/>
        </w:rPr>
        <w:t>una variable relevante puede ser los conflictos armados sociales y culturales que se dan en el territorio.</w:t>
      </w:r>
    </w:p>
    <w:p w14:paraId="74B6A91F" w14:textId="4FBE1EF5" w:rsidR="00E9242A" w:rsidRDefault="00B76E10" w:rsidP="002E45C7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Esto podría significar que en Chile se están dando situaciones con una difícil explicación que requieren una intervención pronta del Estado, de lo contrario, </w:t>
      </w:r>
      <w:r w:rsidR="003558F3">
        <w:rPr>
          <w:lang w:val="es-CL"/>
        </w:rPr>
        <w:t xml:space="preserve">la situación a nivel podría empeorar. </w:t>
      </w:r>
    </w:p>
    <w:p w14:paraId="2495E644" w14:textId="169D2E14" w:rsidR="00B7408F" w:rsidRPr="002E45C7" w:rsidRDefault="00B7408F" w:rsidP="002E45C7">
      <w:pPr>
        <w:spacing w:line="480" w:lineRule="auto"/>
        <w:jc w:val="both"/>
        <w:rPr>
          <w:lang w:val="es-CL"/>
        </w:rPr>
      </w:pPr>
      <w:r>
        <w:rPr>
          <w:lang w:val="es-CL"/>
        </w:rPr>
        <w:t xml:space="preserve">Por otro </w:t>
      </w:r>
      <w:r w:rsidR="001A309F">
        <w:rPr>
          <w:lang w:val="es-CL"/>
        </w:rPr>
        <w:t xml:space="preserve">lado, </w:t>
      </w:r>
      <w:r w:rsidR="00556017">
        <w:rPr>
          <w:lang w:val="es-CL"/>
        </w:rPr>
        <w:t xml:space="preserve">se ha encontrado que </w:t>
      </w:r>
      <w:r w:rsidR="00551408">
        <w:rPr>
          <w:lang w:val="es-CL"/>
        </w:rPr>
        <w:t>la tasa de homicidios en otros países es mucho mayor que en Chile, y si bien en los últimos años los homicidios han ido al alza en el país, aún se e</w:t>
      </w:r>
      <w:r w:rsidR="006F6BE6">
        <w:rPr>
          <w:lang w:val="es-CL"/>
        </w:rPr>
        <w:t xml:space="preserve">stá a tiempo para revertir la situación, solo se necesita profundizar los estudios, identificar las causas </w:t>
      </w:r>
      <w:r w:rsidR="00FB6173">
        <w:rPr>
          <w:lang w:val="es-CL"/>
        </w:rPr>
        <w:t xml:space="preserve">de los homicidios de cada comuna e </w:t>
      </w:r>
      <w:r w:rsidR="00C17441">
        <w:rPr>
          <w:lang w:val="es-CL"/>
        </w:rPr>
        <w:t>identificar, como mínimo, las causas más comunes para tomar medidas al respecto.</w:t>
      </w:r>
    </w:p>
    <w:p w14:paraId="51ED0C10" w14:textId="77777777" w:rsidR="00AB622A" w:rsidRDefault="00AB622A" w:rsidP="00BF2829">
      <w:pPr>
        <w:rPr>
          <w:b/>
          <w:bCs/>
          <w:lang w:val="es-CL"/>
        </w:rPr>
      </w:pPr>
    </w:p>
    <w:p w14:paraId="7ED886BF" w14:textId="77777777" w:rsidR="00AB622A" w:rsidRDefault="00AB622A" w:rsidP="00BF2829">
      <w:pPr>
        <w:rPr>
          <w:b/>
          <w:bCs/>
          <w:lang w:val="es-CL"/>
        </w:rPr>
      </w:pPr>
    </w:p>
    <w:p w14:paraId="1352B109" w14:textId="38F6E684" w:rsidR="00AB622A" w:rsidRPr="00BF2829" w:rsidRDefault="00AB622A" w:rsidP="00CB6CCD">
      <w:pPr>
        <w:spacing w:line="480" w:lineRule="auto"/>
        <w:rPr>
          <w:b/>
          <w:bCs/>
          <w:lang w:val="es-CL"/>
        </w:rPr>
      </w:pPr>
      <w:r>
        <w:rPr>
          <w:b/>
          <w:bCs/>
          <w:lang w:val="es-CL"/>
        </w:rPr>
        <w:t>10. Referencias</w:t>
      </w:r>
    </w:p>
    <w:p w14:paraId="6FBDA5FC" w14:textId="19D0CCF0" w:rsidR="00803B7C" w:rsidRDefault="008111A5">
      <w:pPr>
        <w:rPr>
          <w:b/>
          <w:bCs/>
          <w:lang w:val="es-CL"/>
        </w:rPr>
      </w:pPr>
      <w:r>
        <w:rPr>
          <w:b/>
          <w:bCs/>
          <w:lang w:val="es-CL"/>
        </w:rPr>
        <w:lastRenderedPageBreak/>
        <w:t xml:space="preserve"> </w:t>
      </w:r>
    </w:p>
    <w:p w14:paraId="180131BA" w14:textId="77777777" w:rsidR="00DF3510" w:rsidRPr="00C30609" w:rsidRDefault="00CB6CCD" w:rsidP="00DF3510">
      <w:pPr>
        <w:pStyle w:val="Bibliografa"/>
        <w:rPr>
          <w:lang w:val="es-CL"/>
        </w:rPr>
      </w:pPr>
      <w:r>
        <w:rPr>
          <w:lang w:val="es-CL"/>
        </w:rPr>
        <w:fldChar w:fldCharType="begin"/>
      </w:r>
      <w:r>
        <w:rPr>
          <w:lang w:val="es-CL"/>
        </w:rPr>
        <w:instrText xml:space="preserve"> ADDIN ZOTERO_BIBL {"uncited":[],"omitted":[],"custom":[]} CSL_BIBLIOGRAPHY </w:instrText>
      </w:r>
      <w:r>
        <w:rPr>
          <w:lang w:val="es-CL"/>
        </w:rPr>
        <w:fldChar w:fldCharType="separate"/>
      </w:r>
      <w:r w:rsidR="00DF3510" w:rsidRPr="00C30609">
        <w:rPr>
          <w:lang w:val="es-CL"/>
        </w:rPr>
        <w:t xml:space="preserve">Carrillo, R. (2019). Determinantes económicos y sociológicos del crimen en Colombia. </w:t>
      </w:r>
      <w:r w:rsidR="00DF3510" w:rsidRPr="00C30609">
        <w:rPr>
          <w:i/>
          <w:iCs/>
          <w:lang w:val="es-CL"/>
        </w:rPr>
        <w:t>Revista académica</w:t>
      </w:r>
      <w:r w:rsidR="00DF3510" w:rsidRPr="00C30609">
        <w:rPr>
          <w:lang w:val="es-CL"/>
        </w:rPr>
        <w:t xml:space="preserve">, </w:t>
      </w:r>
      <w:r w:rsidR="00DF3510" w:rsidRPr="00C30609">
        <w:rPr>
          <w:i/>
          <w:iCs/>
          <w:lang w:val="es-CL"/>
        </w:rPr>
        <w:t>12</w:t>
      </w:r>
      <w:r w:rsidR="00DF3510" w:rsidRPr="00C30609">
        <w:rPr>
          <w:lang w:val="es-CL"/>
        </w:rPr>
        <w:t>(24), 146-155.</w:t>
      </w:r>
    </w:p>
    <w:p w14:paraId="00DD70AF" w14:textId="77777777" w:rsidR="00DF3510" w:rsidRPr="00C30609" w:rsidRDefault="00DF3510" w:rsidP="00DF3510">
      <w:pPr>
        <w:pStyle w:val="Bibliografa"/>
        <w:rPr>
          <w:lang w:val="es-CL"/>
        </w:rPr>
      </w:pPr>
      <w:r w:rsidRPr="00C30609">
        <w:rPr>
          <w:lang w:val="es-CL"/>
        </w:rPr>
        <w:t xml:space="preserve">Núñez, J., Rivera, J., Villavicencio, X., &amp; Molina, O. (2003). DETERMINANTES SOCIOECONOMICOS Y DEMOGRAFICOS DEL CRIMEN EN CHILE EVIDENCIA DESDE UN PANEL DE DATOS DE LAS REGIONES CHILENAS. </w:t>
      </w:r>
      <w:r w:rsidRPr="00C30609">
        <w:rPr>
          <w:i/>
          <w:iCs/>
          <w:lang w:val="es-CL"/>
        </w:rPr>
        <w:t>Revista académica</w:t>
      </w:r>
      <w:r w:rsidRPr="00C30609">
        <w:rPr>
          <w:lang w:val="es-CL"/>
        </w:rPr>
        <w:t xml:space="preserve">, </w:t>
      </w:r>
      <w:r w:rsidRPr="00C30609">
        <w:rPr>
          <w:i/>
          <w:iCs/>
          <w:lang w:val="es-CL"/>
        </w:rPr>
        <w:t>30</w:t>
      </w:r>
      <w:r w:rsidRPr="00C30609">
        <w:rPr>
          <w:lang w:val="es-CL"/>
        </w:rPr>
        <w:t>, 55-85.</w:t>
      </w:r>
    </w:p>
    <w:p w14:paraId="4A38ACD2" w14:textId="77777777" w:rsidR="00DF3510" w:rsidRPr="00C30609" w:rsidRDefault="00DF3510" w:rsidP="00DF3510">
      <w:pPr>
        <w:pStyle w:val="Bibliografa"/>
        <w:rPr>
          <w:lang w:val="es-CL"/>
        </w:rPr>
      </w:pPr>
      <w:r w:rsidRPr="00C30609">
        <w:rPr>
          <w:lang w:val="es-CL"/>
        </w:rPr>
        <w:t xml:space="preserve">Sandoval, L. E., &amp; Barón, D. M. (2008). UNA REVISIÓN AL ESTUDIO DE LA DELINCUENCIA Y CRIMINALIDAD. </w:t>
      </w:r>
      <w:r w:rsidRPr="00C30609">
        <w:rPr>
          <w:i/>
          <w:iCs/>
          <w:lang w:val="es-CL"/>
        </w:rPr>
        <w:t>Revista académica</w:t>
      </w:r>
      <w:r w:rsidRPr="00C30609">
        <w:rPr>
          <w:lang w:val="es-CL"/>
        </w:rPr>
        <w:t xml:space="preserve">, </w:t>
      </w:r>
      <w:r w:rsidRPr="00C30609">
        <w:rPr>
          <w:i/>
          <w:iCs/>
          <w:lang w:val="es-CL"/>
        </w:rPr>
        <w:t>16</w:t>
      </w:r>
      <w:r w:rsidRPr="00C30609">
        <w:rPr>
          <w:lang w:val="es-CL"/>
        </w:rPr>
        <w:t>, 105-117.</w:t>
      </w:r>
    </w:p>
    <w:p w14:paraId="7B4AE22B" w14:textId="77777777" w:rsidR="00DF3510" w:rsidRPr="00C30609" w:rsidRDefault="00DF3510" w:rsidP="00DF3510">
      <w:pPr>
        <w:pStyle w:val="Bibliografa"/>
        <w:rPr>
          <w:lang w:val="es-CL"/>
        </w:rPr>
      </w:pPr>
      <w:r w:rsidRPr="00C30609">
        <w:rPr>
          <w:lang w:val="es-CL"/>
        </w:rPr>
        <w:t xml:space="preserve">Vallejo Gutiérrez, J. R., &amp; Villegas Barrientos, N. I. (2018). Índice delictivo y su relación con densidad poblacional y el Índice de Desarrollo Humano en el Estado de Guanajuato. </w:t>
      </w:r>
      <w:r w:rsidRPr="00C30609">
        <w:rPr>
          <w:i/>
          <w:iCs/>
          <w:lang w:val="es-CL"/>
        </w:rPr>
        <w:t>Acta universitaria</w:t>
      </w:r>
      <w:r w:rsidRPr="00C30609">
        <w:rPr>
          <w:lang w:val="es-CL"/>
        </w:rPr>
        <w:t xml:space="preserve">, </w:t>
      </w:r>
      <w:r w:rsidRPr="00C30609">
        <w:rPr>
          <w:i/>
          <w:iCs/>
          <w:lang w:val="es-CL"/>
        </w:rPr>
        <w:t>28</w:t>
      </w:r>
      <w:r w:rsidRPr="00C30609">
        <w:rPr>
          <w:lang w:val="es-CL"/>
        </w:rPr>
        <w:t>(SPE), 57-65.</w:t>
      </w:r>
    </w:p>
    <w:p w14:paraId="02D39292" w14:textId="77777777" w:rsidR="00DF3510" w:rsidRPr="00DF3510" w:rsidRDefault="00DF3510" w:rsidP="00DF3510">
      <w:pPr>
        <w:pStyle w:val="Bibliografa"/>
      </w:pPr>
      <w:r w:rsidRPr="00C30609">
        <w:rPr>
          <w:lang w:val="es-CL"/>
        </w:rPr>
        <w:t xml:space="preserve">Vargas, B. A. (2021). ¿Por qué se producen altos niveles de homicidio doloso en las alcaldías de la Ciudad de México? Una aproximación configuracional desde la teoría de la desorganización social. </w:t>
      </w:r>
      <w:r w:rsidRPr="00DF3510">
        <w:rPr>
          <w:i/>
          <w:iCs/>
        </w:rPr>
        <w:t>Revista académica</w:t>
      </w:r>
      <w:r w:rsidRPr="00DF3510">
        <w:t xml:space="preserve">, </w:t>
      </w:r>
      <w:r w:rsidRPr="00DF3510">
        <w:rPr>
          <w:i/>
          <w:iCs/>
        </w:rPr>
        <w:t>36</w:t>
      </w:r>
      <w:r w:rsidRPr="00DF3510">
        <w:t>(102), 187-226.</w:t>
      </w:r>
    </w:p>
    <w:p w14:paraId="73378577" w14:textId="638F81DA" w:rsidR="00803B7C" w:rsidRPr="00CB6CCD" w:rsidRDefault="00CB6CCD" w:rsidP="00CB6CCD">
      <w:pPr>
        <w:spacing w:line="480" w:lineRule="auto"/>
        <w:jc w:val="both"/>
        <w:rPr>
          <w:lang w:val="es-CL"/>
        </w:rPr>
      </w:pPr>
      <w:r>
        <w:rPr>
          <w:lang w:val="es-CL"/>
        </w:rPr>
        <w:fldChar w:fldCharType="end"/>
      </w:r>
    </w:p>
    <w:sectPr w:rsidR="00803B7C" w:rsidRPr="00CB6CCD" w:rsidSect="004E0237">
      <w:headerReference w:type="default" r:id="rId12"/>
      <w:footerReference w:type="default" r:id="rId13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1CF60" w14:textId="77777777" w:rsidR="00831614" w:rsidRDefault="00831614" w:rsidP="008C53E2">
      <w:r>
        <w:separator/>
      </w:r>
    </w:p>
  </w:endnote>
  <w:endnote w:type="continuationSeparator" w:id="0">
    <w:p w14:paraId="0FD66079" w14:textId="77777777" w:rsidR="00831614" w:rsidRDefault="00831614" w:rsidP="008C53E2">
      <w:r>
        <w:continuationSeparator/>
      </w:r>
    </w:p>
  </w:endnote>
  <w:endnote w:type="continuationNotice" w:id="1">
    <w:p w14:paraId="5DE3AC33" w14:textId="77777777" w:rsidR="00831614" w:rsidRDefault="008316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699278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31A9324B" w14:textId="39959657" w:rsidR="008C53E2" w:rsidRDefault="008C53E2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14:paraId="79A4DF62" w14:textId="77777777" w:rsidR="008C53E2" w:rsidRDefault="008C53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D1627" w14:textId="77777777" w:rsidR="00831614" w:rsidRDefault="00831614" w:rsidP="008C53E2">
      <w:r>
        <w:separator/>
      </w:r>
    </w:p>
  </w:footnote>
  <w:footnote w:type="continuationSeparator" w:id="0">
    <w:p w14:paraId="7E1875F8" w14:textId="77777777" w:rsidR="00831614" w:rsidRDefault="00831614" w:rsidP="008C53E2">
      <w:r>
        <w:continuationSeparator/>
      </w:r>
    </w:p>
  </w:footnote>
  <w:footnote w:type="continuationNotice" w:id="1">
    <w:p w14:paraId="48535DAB" w14:textId="77777777" w:rsidR="00831614" w:rsidRDefault="008316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E2ED2" w14:textId="7BF73102" w:rsidR="00EC7084" w:rsidRDefault="00EC7084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201A4D" wp14:editId="0EF1849C">
              <wp:simplePos x="0" y="0"/>
              <wp:positionH relativeFrom="margin">
                <wp:posOffset>-242570</wp:posOffset>
              </wp:positionH>
              <wp:positionV relativeFrom="paragraph">
                <wp:posOffset>286449</wp:posOffset>
              </wp:positionV>
              <wp:extent cx="5885970" cy="0"/>
              <wp:effectExtent l="0" t="0" r="0" b="0"/>
              <wp:wrapNone/>
              <wp:docPr id="1876185984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597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62C1C8" id="Conector recto 1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9.1pt,22.55pt" to="444.3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644D3"/>
    <w:multiLevelType w:val="hybridMultilevel"/>
    <w:tmpl w:val="FE26B30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3663"/>
    <w:multiLevelType w:val="hybridMultilevel"/>
    <w:tmpl w:val="1F7C54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50E9E"/>
    <w:multiLevelType w:val="hybridMultilevel"/>
    <w:tmpl w:val="F576469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46894"/>
    <w:multiLevelType w:val="hybridMultilevel"/>
    <w:tmpl w:val="69B49F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E5284"/>
    <w:multiLevelType w:val="hybridMultilevel"/>
    <w:tmpl w:val="49548F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113298">
    <w:abstractNumId w:val="0"/>
  </w:num>
  <w:num w:numId="2" w16cid:durableId="217939949">
    <w:abstractNumId w:val="4"/>
  </w:num>
  <w:num w:numId="3" w16cid:durableId="1158572615">
    <w:abstractNumId w:val="1"/>
  </w:num>
  <w:num w:numId="4" w16cid:durableId="1391997362">
    <w:abstractNumId w:val="3"/>
  </w:num>
  <w:num w:numId="5" w16cid:durableId="2141025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8D"/>
    <w:rsid w:val="00007912"/>
    <w:rsid w:val="000110B1"/>
    <w:rsid w:val="00014FE8"/>
    <w:rsid w:val="00025C83"/>
    <w:rsid w:val="00026325"/>
    <w:rsid w:val="000313C7"/>
    <w:rsid w:val="00037961"/>
    <w:rsid w:val="000577E6"/>
    <w:rsid w:val="000578CB"/>
    <w:rsid w:val="0006580E"/>
    <w:rsid w:val="00066ADA"/>
    <w:rsid w:val="000842C4"/>
    <w:rsid w:val="00084315"/>
    <w:rsid w:val="000852E9"/>
    <w:rsid w:val="000865C9"/>
    <w:rsid w:val="00090491"/>
    <w:rsid w:val="000915AA"/>
    <w:rsid w:val="00093A17"/>
    <w:rsid w:val="000A5171"/>
    <w:rsid w:val="000B166D"/>
    <w:rsid w:val="000D345E"/>
    <w:rsid w:val="000D35A3"/>
    <w:rsid w:val="000D5FD3"/>
    <w:rsid w:val="000F1F0E"/>
    <w:rsid w:val="000F66BF"/>
    <w:rsid w:val="00105D6E"/>
    <w:rsid w:val="00137BF6"/>
    <w:rsid w:val="001405DF"/>
    <w:rsid w:val="00141FBF"/>
    <w:rsid w:val="00144A46"/>
    <w:rsid w:val="00144E88"/>
    <w:rsid w:val="001619DA"/>
    <w:rsid w:val="00170870"/>
    <w:rsid w:val="00175A40"/>
    <w:rsid w:val="001865B2"/>
    <w:rsid w:val="00190171"/>
    <w:rsid w:val="00191305"/>
    <w:rsid w:val="001954A7"/>
    <w:rsid w:val="00195DF7"/>
    <w:rsid w:val="00195F5B"/>
    <w:rsid w:val="001A309F"/>
    <w:rsid w:val="001B63DC"/>
    <w:rsid w:val="001C04E8"/>
    <w:rsid w:val="001C4A49"/>
    <w:rsid w:val="001D3132"/>
    <w:rsid w:val="001D3877"/>
    <w:rsid w:val="001D41A4"/>
    <w:rsid w:val="001D5F68"/>
    <w:rsid w:val="001E39B3"/>
    <w:rsid w:val="001E7E7E"/>
    <w:rsid w:val="001F2665"/>
    <w:rsid w:val="002013B9"/>
    <w:rsid w:val="0021569B"/>
    <w:rsid w:val="00220D8C"/>
    <w:rsid w:val="00223C07"/>
    <w:rsid w:val="00224964"/>
    <w:rsid w:val="002332CC"/>
    <w:rsid w:val="00260135"/>
    <w:rsid w:val="002659F0"/>
    <w:rsid w:val="002B4FE7"/>
    <w:rsid w:val="002B75EE"/>
    <w:rsid w:val="002D2245"/>
    <w:rsid w:val="002D4CB8"/>
    <w:rsid w:val="002E45C7"/>
    <w:rsid w:val="002E4A26"/>
    <w:rsid w:val="002E6105"/>
    <w:rsid w:val="002F0C81"/>
    <w:rsid w:val="002F47E2"/>
    <w:rsid w:val="0030295B"/>
    <w:rsid w:val="00331771"/>
    <w:rsid w:val="0033199C"/>
    <w:rsid w:val="00337E9F"/>
    <w:rsid w:val="00342426"/>
    <w:rsid w:val="00344F17"/>
    <w:rsid w:val="00347B93"/>
    <w:rsid w:val="00355624"/>
    <w:rsid w:val="003558F3"/>
    <w:rsid w:val="003742C6"/>
    <w:rsid w:val="00375F30"/>
    <w:rsid w:val="00376D1C"/>
    <w:rsid w:val="00383477"/>
    <w:rsid w:val="003849E6"/>
    <w:rsid w:val="00396577"/>
    <w:rsid w:val="003A0936"/>
    <w:rsid w:val="003B20C5"/>
    <w:rsid w:val="003B5D55"/>
    <w:rsid w:val="003C6942"/>
    <w:rsid w:val="0042388A"/>
    <w:rsid w:val="00434BFE"/>
    <w:rsid w:val="0044439F"/>
    <w:rsid w:val="00445CF1"/>
    <w:rsid w:val="00447A6D"/>
    <w:rsid w:val="0045607A"/>
    <w:rsid w:val="00456DA5"/>
    <w:rsid w:val="00460EE2"/>
    <w:rsid w:val="00487150"/>
    <w:rsid w:val="004C3879"/>
    <w:rsid w:val="004D131B"/>
    <w:rsid w:val="004D460B"/>
    <w:rsid w:val="004E0237"/>
    <w:rsid w:val="004E1E5D"/>
    <w:rsid w:val="004E3864"/>
    <w:rsid w:val="004E68A8"/>
    <w:rsid w:val="004F1D79"/>
    <w:rsid w:val="004F4A4D"/>
    <w:rsid w:val="0050089C"/>
    <w:rsid w:val="00502E1A"/>
    <w:rsid w:val="005134FD"/>
    <w:rsid w:val="00522C35"/>
    <w:rsid w:val="00526B6C"/>
    <w:rsid w:val="005367F0"/>
    <w:rsid w:val="00543AF2"/>
    <w:rsid w:val="0055107B"/>
    <w:rsid w:val="00551408"/>
    <w:rsid w:val="00556017"/>
    <w:rsid w:val="00560B11"/>
    <w:rsid w:val="00571D2F"/>
    <w:rsid w:val="00591230"/>
    <w:rsid w:val="005974EF"/>
    <w:rsid w:val="005A295D"/>
    <w:rsid w:val="005C3AC1"/>
    <w:rsid w:val="005C42CD"/>
    <w:rsid w:val="005D4C7F"/>
    <w:rsid w:val="005E56E7"/>
    <w:rsid w:val="005E650A"/>
    <w:rsid w:val="005F62F6"/>
    <w:rsid w:val="005F7CD8"/>
    <w:rsid w:val="00604A8B"/>
    <w:rsid w:val="00606562"/>
    <w:rsid w:val="00611FF3"/>
    <w:rsid w:val="006146EB"/>
    <w:rsid w:val="00621683"/>
    <w:rsid w:val="00621D2F"/>
    <w:rsid w:val="0062678F"/>
    <w:rsid w:val="006311FD"/>
    <w:rsid w:val="0063283D"/>
    <w:rsid w:val="0064495C"/>
    <w:rsid w:val="00647529"/>
    <w:rsid w:val="00653C38"/>
    <w:rsid w:val="00653F7A"/>
    <w:rsid w:val="00655940"/>
    <w:rsid w:val="006569B3"/>
    <w:rsid w:val="0066042B"/>
    <w:rsid w:val="0066354B"/>
    <w:rsid w:val="00671697"/>
    <w:rsid w:val="00677D08"/>
    <w:rsid w:val="006A31AB"/>
    <w:rsid w:val="006C0C1F"/>
    <w:rsid w:val="006C527B"/>
    <w:rsid w:val="006C66D8"/>
    <w:rsid w:val="006D0AF4"/>
    <w:rsid w:val="006D2E8D"/>
    <w:rsid w:val="006E1B63"/>
    <w:rsid w:val="006F6BE6"/>
    <w:rsid w:val="00701C5F"/>
    <w:rsid w:val="00701E58"/>
    <w:rsid w:val="00702354"/>
    <w:rsid w:val="007119EC"/>
    <w:rsid w:val="00713557"/>
    <w:rsid w:val="00714D2A"/>
    <w:rsid w:val="00715D86"/>
    <w:rsid w:val="0072029D"/>
    <w:rsid w:val="0072159D"/>
    <w:rsid w:val="00724E24"/>
    <w:rsid w:val="007338BF"/>
    <w:rsid w:val="0073538F"/>
    <w:rsid w:val="007418D2"/>
    <w:rsid w:val="00743D74"/>
    <w:rsid w:val="00747E3B"/>
    <w:rsid w:val="00752C2C"/>
    <w:rsid w:val="00754AFB"/>
    <w:rsid w:val="007659CE"/>
    <w:rsid w:val="00783A41"/>
    <w:rsid w:val="00794196"/>
    <w:rsid w:val="007A6F69"/>
    <w:rsid w:val="007B2448"/>
    <w:rsid w:val="007B7B21"/>
    <w:rsid w:val="007C0717"/>
    <w:rsid w:val="007E59D8"/>
    <w:rsid w:val="007F0CDB"/>
    <w:rsid w:val="007F1148"/>
    <w:rsid w:val="007F21E3"/>
    <w:rsid w:val="00800E76"/>
    <w:rsid w:val="008019CB"/>
    <w:rsid w:val="00802B50"/>
    <w:rsid w:val="00803B7C"/>
    <w:rsid w:val="008111A5"/>
    <w:rsid w:val="00815684"/>
    <w:rsid w:val="00827AB5"/>
    <w:rsid w:val="00831614"/>
    <w:rsid w:val="008450D9"/>
    <w:rsid w:val="00846CB7"/>
    <w:rsid w:val="00872EF1"/>
    <w:rsid w:val="00875EC2"/>
    <w:rsid w:val="008970B7"/>
    <w:rsid w:val="008A45AE"/>
    <w:rsid w:val="008A4E79"/>
    <w:rsid w:val="008A65F9"/>
    <w:rsid w:val="008B0F72"/>
    <w:rsid w:val="008B1D48"/>
    <w:rsid w:val="008B446C"/>
    <w:rsid w:val="008B4EAE"/>
    <w:rsid w:val="008C3F8D"/>
    <w:rsid w:val="008C491A"/>
    <w:rsid w:val="008C53E2"/>
    <w:rsid w:val="008C6D4E"/>
    <w:rsid w:val="008C7632"/>
    <w:rsid w:val="008D029C"/>
    <w:rsid w:val="008D4FB5"/>
    <w:rsid w:val="008E4563"/>
    <w:rsid w:val="00901A89"/>
    <w:rsid w:val="00910C6F"/>
    <w:rsid w:val="009320F4"/>
    <w:rsid w:val="009344F8"/>
    <w:rsid w:val="00945E7D"/>
    <w:rsid w:val="00947D49"/>
    <w:rsid w:val="00954877"/>
    <w:rsid w:val="00961A8A"/>
    <w:rsid w:val="00963B89"/>
    <w:rsid w:val="00973671"/>
    <w:rsid w:val="00975DD5"/>
    <w:rsid w:val="009769B5"/>
    <w:rsid w:val="00991774"/>
    <w:rsid w:val="00993123"/>
    <w:rsid w:val="009A06B5"/>
    <w:rsid w:val="009B237A"/>
    <w:rsid w:val="009C117D"/>
    <w:rsid w:val="009C73E7"/>
    <w:rsid w:val="009E44F2"/>
    <w:rsid w:val="009E570A"/>
    <w:rsid w:val="009F2A96"/>
    <w:rsid w:val="009F3677"/>
    <w:rsid w:val="009F3A09"/>
    <w:rsid w:val="00A06D3F"/>
    <w:rsid w:val="00A4697B"/>
    <w:rsid w:val="00A4749E"/>
    <w:rsid w:val="00A514C7"/>
    <w:rsid w:val="00A53259"/>
    <w:rsid w:val="00A7420E"/>
    <w:rsid w:val="00A743D5"/>
    <w:rsid w:val="00A804B1"/>
    <w:rsid w:val="00A86F3F"/>
    <w:rsid w:val="00A916F2"/>
    <w:rsid w:val="00AA45DA"/>
    <w:rsid w:val="00AB0D04"/>
    <w:rsid w:val="00AB622A"/>
    <w:rsid w:val="00AB798C"/>
    <w:rsid w:val="00AC6DD5"/>
    <w:rsid w:val="00AD2259"/>
    <w:rsid w:val="00AD3AF9"/>
    <w:rsid w:val="00AE1EBD"/>
    <w:rsid w:val="00AF14D1"/>
    <w:rsid w:val="00AF4055"/>
    <w:rsid w:val="00AF4104"/>
    <w:rsid w:val="00B02440"/>
    <w:rsid w:val="00B036A3"/>
    <w:rsid w:val="00B04A21"/>
    <w:rsid w:val="00B152E0"/>
    <w:rsid w:val="00B2634C"/>
    <w:rsid w:val="00B30C54"/>
    <w:rsid w:val="00B42AD0"/>
    <w:rsid w:val="00B42F4C"/>
    <w:rsid w:val="00B448E2"/>
    <w:rsid w:val="00B53F12"/>
    <w:rsid w:val="00B5790B"/>
    <w:rsid w:val="00B66366"/>
    <w:rsid w:val="00B677F7"/>
    <w:rsid w:val="00B72D53"/>
    <w:rsid w:val="00B73754"/>
    <w:rsid w:val="00B7408F"/>
    <w:rsid w:val="00B74CAE"/>
    <w:rsid w:val="00B76E10"/>
    <w:rsid w:val="00B77041"/>
    <w:rsid w:val="00B838B6"/>
    <w:rsid w:val="00BA1630"/>
    <w:rsid w:val="00BB1808"/>
    <w:rsid w:val="00BB3573"/>
    <w:rsid w:val="00BB4FA9"/>
    <w:rsid w:val="00BC17A6"/>
    <w:rsid w:val="00BD0614"/>
    <w:rsid w:val="00BE053A"/>
    <w:rsid w:val="00BE5D77"/>
    <w:rsid w:val="00BE778A"/>
    <w:rsid w:val="00BF2538"/>
    <w:rsid w:val="00BF2829"/>
    <w:rsid w:val="00BF3C42"/>
    <w:rsid w:val="00BF669F"/>
    <w:rsid w:val="00C07D70"/>
    <w:rsid w:val="00C11C60"/>
    <w:rsid w:val="00C15D07"/>
    <w:rsid w:val="00C17441"/>
    <w:rsid w:val="00C225B8"/>
    <w:rsid w:val="00C30609"/>
    <w:rsid w:val="00C30D90"/>
    <w:rsid w:val="00C33141"/>
    <w:rsid w:val="00C346F1"/>
    <w:rsid w:val="00C422EB"/>
    <w:rsid w:val="00C427F2"/>
    <w:rsid w:val="00C65FCC"/>
    <w:rsid w:val="00C66963"/>
    <w:rsid w:val="00C66EC3"/>
    <w:rsid w:val="00C67ABB"/>
    <w:rsid w:val="00C85EA4"/>
    <w:rsid w:val="00C85F2A"/>
    <w:rsid w:val="00C949DE"/>
    <w:rsid w:val="00C96F82"/>
    <w:rsid w:val="00CA3059"/>
    <w:rsid w:val="00CA35DA"/>
    <w:rsid w:val="00CA395F"/>
    <w:rsid w:val="00CA54CF"/>
    <w:rsid w:val="00CB0DDA"/>
    <w:rsid w:val="00CB6CCD"/>
    <w:rsid w:val="00CD259C"/>
    <w:rsid w:val="00CD738C"/>
    <w:rsid w:val="00CF0B72"/>
    <w:rsid w:val="00D0461C"/>
    <w:rsid w:val="00D24524"/>
    <w:rsid w:val="00D37DCD"/>
    <w:rsid w:val="00D44F24"/>
    <w:rsid w:val="00D46DCF"/>
    <w:rsid w:val="00D47C99"/>
    <w:rsid w:val="00D66019"/>
    <w:rsid w:val="00D67056"/>
    <w:rsid w:val="00D67DF1"/>
    <w:rsid w:val="00D84D8F"/>
    <w:rsid w:val="00D96112"/>
    <w:rsid w:val="00DC5354"/>
    <w:rsid w:val="00DC6EFC"/>
    <w:rsid w:val="00DD7AC5"/>
    <w:rsid w:val="00DE2D19"/>
    <w:rsid w:val="00DE3830"/>
    <w:rsid w:val="00DF3510"/>
    <w:rsid w:val="00DF6553"/>
    <w:rsid w:val="00DF7032"/>
    <w:rsid w:val="00E00B5A"/>
    <w:rsid w:val="00E021A9"/>
    <w:rsid w:val="00E05615"/>
    <w:rsid w:val="00E056D3"/>
    <w:rsid w:val="00E12EE4"/>
    <w:rsid w:val="00E17BFB"/>
    <w:rsid w:val="00E205E3"/>
    <w:rsid w:val="00E22592"/>
    <w:rsid w:val="00E30BB5"/>
    <w:rsid w:val="00E36D25"/>
    <w:rsid w:val="00E4312A"/>
    <w:rsid w:val="00E46017"/>
    <w:rsid w:val="00E479EE"/>
    <w:rsid w:val="00E554D6"/>
    <w:rsid w:val="00E55B97"/>
    <w:rsid w:val="00E565D9"/>
    <w:rsid w:val="00E643D9"/>
    <w:rsid w:val="00E705FF"/>
    <w:rsid w:val="00E800C5"/>
    <w:rsid w:val="00E80FAF"/>
    <w:rsid w:val="00E916DA"/>
    <w:rsid w:val="00E91AB5"/>
    <w:rsid w:val="00E9242A"/>
    <w:rsid w:val="00E948C2"/>
    <w:rsid w:val="00E973CD"/>
    <w:rsid w:val="00EA4BED"/>
    <w:rsid w:val="00EB2758"/>
    <w:rsid w:val="00EC5904"/>
    <w:rsid w:val="00EC7084"/>
    <w:rsid w:val="00ED7C12"/>
    <w:rsid w:val="00EE7E01"/>
    <w:rsid w:val="00EF2184"/>
    <w:rsid w:val="00F011C5"/>
    <w:rsid w:val="00F04690"/>
    <w:rsid w:val="00F134E2"/>
    <w:rsid w:val="00F146DB"/>
    <w:rsid w:val="00F17F66"/>
    <w:rsid w:val="00F35B98"/>
    <w:rsid w:val="00F35C25"/>
    <w:rsid w:val="00F4648A"/>
    <w:rsid w:val="00F529FF"/>
    <w:rsid w:val="00F62E6B"/>
    <w:rsid w:val="00F63EBE"/>
    <w:rsid w:val="00F76A09"/>
    <w:rsid w:val="00F8394A"/>
    <w:rsid w:val="00F858A0"/>
    <w:rsid w:val="00FA0FDE"/>
    <w:rsid w:val="00FB6173"/>
    <w:rsid w:val="00FB7623"/>
    <w:rsid w:val="00FB7F94"/>
    <w:rsid w:val="00FC2AD8"/>
    <w:rsid w:val="00FC49FC"/>
    <w:rsid w:val="00FC5E08"/>
    <w:rsid w:val="00FC698E"/>
    <w:rsid w:val="00FE2200"/>
    <w:rsid w:val="00FE77CA"/>
    <w:rsid w:val="00FF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B307F"/>
  <w15:chartTrackingRefBased/>
  <w15:docId w15:val="{3036FC86-0097-40A1-90C0-3498F0FF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AD0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53E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53E2"/>
    <w:rPr>
      <w:rFonts w:ascii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8C53E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53E2"/>
    <w:rPr>
      <w:rFonts w:ascii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BF282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152E0"/>
    <w:rPr>
      <w:color w:val="666666"/>
    </w:rPr>
  </w:style>
  <w:style w:type="paragraph" w:styleId="Bibliografa">
    <w:name w:val="Bibliography"/>
    <w:basedOn w:val="Normal"/>
    <w:next w:val="Normal"/>
    <w:uiPriority w:val="37"/>
    <w:unhideWhenUsed/>
    <w:rsid w:val="00CB6CCD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5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400" b="0">
                <a:latin typeface="Times New Roman" panose="02020603050405020304" pitchFamily="18" charset="0"/>
                <a:cs typeface="Times New Roman" panose="02020603050405020304" pitchFamily="18" charset="0"/>
              </a:rPr>
              <a:t>Tasa de homicidios por</a:t>
            </a:r>
            <a:r>
              <a:rPr lang="en-US" sz="14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densidad poblacional</a:t>
            </a:r>
            <a:endParaRPr lang="en-US" sz="1400" b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s-C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'Sin outlayers'!$C$1</c:f>
              <c:strCache>
                <c:ptCount val="1"/>
                <c:pt idx="0">
                  <c:v>tasa de homicidios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2093503011088806"/>
                  <c:y val="-0.459990716594509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L"/>
                </a:p>
              </c:txPr>
            </c:trendlineLbl>
          </c:trendline>
          <c:xVal>
            <c:numRef>
              <c:f>'Sin outlayers'!$B$2:$B$344</c:f>
              <c:numCache>
                <c:formatCode>General</c:formatCode>
                <c:ptCount val="343"/>
                <c:pt idx="0">
                  <c:v>15.5</c:v>
                </c:pt>
                <c:pt idx="1">
                  <c:v>1</c:v>
                </c:pt>
                <c:pt idx="2">
                  <c:v>40.799999999999997</c:v>
                </c:pt>
                <c:pt idx="3">
                  <c:v>7.3</c:v>
                </c:pt>
                <c:pt idx="4">
                  <c:v>1.9</c:v>
                </c:pt>
                <c:pt idx="5">
                  <c:v>3.8</c:v>
                </c:pt>
                <c:pt idx="6">
                  <c:v>6.3</c:v>
                </c:pt>
                <c:pt idx="7">
                  <c:v>16.399999999999999</c:v>
                </c:pt>
                <c:pt idx="8">
                  <c:v>39</c:v>
                </c:pt>
                <c:pt idx="9">
                  <c:v>10</c:v>
                </c:pt>
                <c:pt idx="10">
                  <c:v>218.4</c:v>
                </c:pt>
                <c:pt idx="11">
                  <c:v>31.8</c:v>
                </c:pt>
                <c:pt idx="12">
                  <c:v>3.7</c:v>
                </c:pt>
                <c:pt idx="13">
                  <c:v>33.799999999999997</c:v>
                </c:pt>
                <c:pt idx="14">
                  <c:v>10.199999999999999</c:v>
                </c:pt>
                <c:pt idx="15">
                  <c:v>61.7</c:v>
                </c:pt>
                <c:pt idx="16">
                  <c:v>11553.6</c:v>
                </c:pt>
                <c:pt idx="17">
                  <c:v>1.2</c:v>
                </c:pt>
                <c:pt idx="18">
                  <c:v>11986.6</c:v>
                </c:pt>
                <c:pt idx="19">
                  <c:v>6.4</c:v>
                </c:pt>
                <c:pt idx="20">
                  <c:v>11.5</c:v>
                </c:pt>
                <c:pt idx="21">
                  <c:v>25.4</c:v>
                </c:pt>
                <c:pt idx="22">
                  <c:v>21</c:v>
                </c:pt>
                <c:pt idx="23">
                  <c:v>20.5</c:v>
                </c:pt>
                <c:pt idx="24">
                  <c:v>5823.6</c:v>
                </c:pt>
                <c:pt idx="25">
                  <c:v>188.9</c:v>
                </c:pt>
                <c:pt idx="26">
                  <c:v>117.2</c:v>
                </c:pt>
                <c:pt idx="27">
                  <c:v>8.8000000000000007</c:v>
                </c:pt>
                <c:pt idx="28">
                  <c:v>16.899999999999999</c:v>
                </c:pt>
                <c:pt idx="29">
                  <c:v>1.1000000000000001</c:v>
                </c:pt>
                <c:pt idx="30">
                  <c:v>13207.6</c:v>
                </c:pt>
                <c:pt idx="31">
                  <c:v>25.5</c:v>
                </c:pt>
                <c:pt idx="32">
                  <c:v>21</c:v>
                </c:pt>
                <c:pt idx="33">
                  <c:v>37.799999999999997</c:v>
                </c:pt>
                <c:pt idx="34">
                  <c:v>15.3</c:v>
                </c:pt>
                <c:pt idx="35">
                  <c:v>15.4</c:v>
                </c:pt>
                <c:pt idx="36">
                  <c:v>61.8</c:v>
                </c:pt>
                <c:pt idx="37">
                  <c:v>15.9</c:v>
                </c:pt>
                <c:pt idx="38">
                  <c:v>6.5</c:v>
                </c:pt>
                <c:pt idx="39">
                  <c:v>13.7</c:v>
                </c:pt>
                <c:pt idx="40">
                  <c:v>10000.200000000001</c:v>
                </c:pt>
                <c:pt idx="41">
                  <c:v>9030.7000000000007</c:v>
                </c:pt>
                <c:pt idx="42">
                  <c:v>34.9</c:v>
                </c:pt>
                <c:pt idx="43">
                  <c:v>25.4</c:v>
                </c:pt>
                <c:pt idx="44">
                  <c:v>31.9</c:v>
                </c:pt>
                <c:pt idx="45">
                  <c:v>10.6</c:v>
                </c:pt>
                <c:pt idx="46">
                  <c:v>10244.4</c:v>
                </c:pt>
                <c:pt idx="47">
                  <c:v>54.6</c:v>
                </c:pt>
                <c:pt idx="48">
                  <c:v>17485.2</c:v>
                </c:pt>
                <c:pt idx="49">
                  <c:v>19.8</c:v>
                </c:pt>
                <c:pt idx="50">
                  <c:v>1970.9</c:v>
                </c:pt>
                <c:pt idx="51">
                  <c:v>91.4</c:v>
                </c:pt>
                <c:pt idx="52">
                  <c:v>31.7</c:v>
                </c:pt>
                <c:pt idx="53">
                  <c:v>297.89999999999998</c:v>
                </c:pt>
                <c:pt idx="54">
                  <c:v>226.7</c:v>
                </c:pt>
                <c:pt idx="55">
                  <c:v>11949.6</c:v>
                </c:pt>
                <c:pt idx="56">
                  <c:v>935.3</c:v>
                </c:pt>
                <c:pt idx="57">
                  <c:v>11553.8</c:v>
                </c:pt>
                <c:pt idx="58">
                  <c:v>18.8</c:v>
                </c:pt>
                <c:pt idx="59">
                  <c:v>17.8</c:v>
                </c:pt>
                <c:pt idx="60">
                  <c:v>93</c:v>
                </c:pt>
                <c:pt idx="61">
                  <c:v>45.4</c:v>
                </c:pt>
                <c:pt idx="62">
                  <c:v>8.6999999999999993</c:v>
                </c:pt>
                <c:pt idx="63">
                  <c:v>31.3</c:v>
                </c:pt>
                <c:pt idx="64">
                  <c:v>5.8</c:v>
                </c:pt>
                <c:pt idx="65">
                  <c:v>29</c:v>
                </c:pt>
                <c:pt idx="66">
                  <c:v>1624.6</c:v>
                </c:pt>
                <c:pt idx="67">
                  <c:v>424.9</c:v>
                </c:pt>
                <c:pt idx="68">
                  <c:v>300.2</c:v>
                </c:pt>
                <c:pt idx="69">
                  <c:v>45.5</c:v>
                </c:pt>
                <c:pt idx="70">
                  <c:v>14672.9</c:v>
                </c:pt>
                <c:pt idx="71">
                  <c:v>4818.8</c:v>
                </c:pt>
                <c:pt idx="72">
                  <c:v>19</c:v>
                </c:pt>
                <c:pt idx="73">
                  <c:v>347.2</c:v>
                </c:pt>
                <c:pt idx="74">
                  <c:v>134.19999999999999</c:v>
                </c:pt>
                <c:pt idx="75">
                  <c:v>159.80000000000001</c:v>
                </c:pt>
                <c:pt idx="76">
                  <c:v>11344.6</c:v>
                </c:pt>
                <c:pt idx="77">
                  <c:v>15.5</c:v>
                </c:pt>
                <c:pt idx="78">
                  <c:v>7.9</c:v>
                </c:pt>
                <c:pt idx="79">
                  <c:v>9311.9</c:v>
                </c:pt>
                <c:pt idx="80">
                  <c:v>43.4</c:v>
                </c:pt>
                <c:pt idx="81">
                  <c:v>1033.5999999999999</c:v>
                </c:pt>
                <c:pt idx="82">
                  <c:v>549.9</c:v>
                </c:pt>
                <c:pt idx="83">
                  <c:v>78.7</c:v>
                </c:pt>
                <c:pt idx="84">
                  <c:v>46.2</c:v>
                </c:pt>
                <c:pt idx="85">
                  <c:v>23</c:v>
                </c:pt>
                <c:pt idx="86">
                  <c:v>1167.5</c:v>
                </c:pt>
                <c:pt idx="87">
                  <c:v>10.8</c:v>
                </c:pt>
                <c:pt idx="88">
                  <c:v>6194.4</c:v>
                </c:pt>
                <c:pt idx="89">
                  <c:v>2772.2</c:v>
                </c:pt>
                <c:pt idx="90">
                  <c:v>2197.5</c:v>
                </c:pt>
                <c:pt idx="91">
                  <c:v>444.2</c:v>
                </c:pt>
                <c:pt idx="92">
                  <c:v>111.9</c:v>
                </c:pt>
                <c:pt idx="93">
                  <c:v>34.700000000000003</c:v>
                </c:pt>
                <c:pt idx="94">
                  <c:v>11427.9</c:v>
                </c:pt>
                <c:pt idx="95">
                  <c:v>46</c:v>
                </c:pt>
                <c:pt idx="96">
                  <c:v>852.4</c:v>
                </c:pt>
                <c:pt idx="97">
                  <c:v>4506.8999999999996</c:v>
                </c:pt>
                <c:pt idx="98">
                  <c:v>315</c:v>
                </c:pt>
                <c:pt idx="99">
                  <c:v>22.9</c:v>
                </c:pt>
                <c:pt idx="100">
                  <c:v>150.6</c:v>
                </c:pt>
                <c:pt idx="101">
                  <c:v>83.7</c:v>
                </c:pt>
                <c:pt idx="102">
                  <c:v>66.900000000000006</c:v>
                </c:pt>
                <c:pt idx="103">
                  <c:v>43</c:v>
                </c:pt>
                <c:pt idx="104">
                  <c:v>2008.7</c:v>
                </c:pt>
                <c:pt idx="105">
                  <c:v>117.6</c:v>
                </c:pt>
                <c:pt idx="106">
                  <c:v>75.7</c:v>
                </c:pt>
                <c:pt idx="107">
                  <c:v>42.9</c:v>
                </c:pt>
                <c:pt idx="108">
                  <c:v>4.8</c:v>
                </c:pt>
                <c:pt idx="109">
                  <c:v>115.5</c:v>
                </c:pt>
                <c:pt idx="110">
                  <c:v>9504.2000000000007</c:v>
                </c:pt>
                <c:pt idx="111">
                  <c:v>3788.7</c:v>
                </c:pt>
                <c:pt idx="112">
                  <c:v>312.7</c:v>
                </c:pt>
                <c:pt idx="113">
                  <c:v>14</c:v>
                </c:pt>
                <c:pt idx="114">
                  <c:v>11.8</c:v>
                </c:pt>
                <c:pt idx="115">
                  <c:v>7.4</c:v>
                </c:pt>
                <c:pt idx="116">
                  <c:v>586.4</c:v>
                </c:pt>
                <c:pt idx="117">
                  <c:v>6439.5</c:v>
                </c:pt>
                <c:pt idx="118">
                  <c:v>29.1</c:v>
                </c:pt>
                <c:pt idx="119">
                  <c:v>378.5</c:v>
                </c:pt>
                <c:pt idx="120">
                  <c:v>54.1</c:v>
                </c:pt>
                <c:pt idx="121">
                  <c:v>50.3</c:v>
                </c:pt>
                <c:pt idx="122">
                  <c:v>7.1</c:v>
                </c:pt>
                <c:pt idx="123">
                  <c:v>229.2</c:v>
                </c:pt>
                <c:pt idx="124">
                  <c:v>168.7</c:v>
                </c:pt>
                <c:pt idx="125">
                  <c:v>24.2</c:v>
                </c:pt>
                <c:pt idx="126">
                  <c:v>96.6</c:v>
                </c:pt>
                <c:pt idx="127">
                  <c:v>63.8</c:v>
                </c:pt>
                <c:pt idx="128">
                  <c:v>30.3</c:v>
                </c:pt>
                <c:pt idx="129">
                  <c:v>28.1</c:v>
                </c:pt>
                <c:pt idx="130">
                  <c:v>43</c:v>
                </c:pt>
                <c:pt idx="131">
                  <c:v>923.7</c:v>
                </c:pt>
                <c:pt idx="132">
                  <c:v>282.8</c:v>
                </c:pt>
                <c:pt idx="133">
                  <c:v>70.5</c:v>
                </c:pt>
                <c:pt idx="134">
                  <c:v>146.69999999999999</c:v>
                </c:pt>
                <c:pt idx="135">
                  <c:v>48.3</c:v>
                </c:pt>
                <c:pt idx="136">
                  <c:v>6.2</c:v>
                </c:pt>
                <c:pt idx="137">
                  <c:v>13627.2</c:v>
                </c:pt>
                <c:pt idx="138">
                  <c:v>1435.3</c:v>
                </c:pt>
                <c:pt idx="139">
                  <c:v>949.8</c:v>
                </c:pt>
                <c:pt idx="140">
                  <c:v>171.5</c:v>
                </c:pt>
                <c:pt idx="141">
                  <c:v>8.1</c:v>
                </c:pt>
                <c:pt idx="142">
                  <c:v>3.7</c:v>
                </c:pt>
                <c:pt idx="143">
                  <c:v>46.7</c:v>
                </c:pt>
                <c:pt idx="144">
                  <c:v>204.6</c:v>
                </c:pt>
                <c:pt idx="145">
                  <c:v>11.7</c:v>
                </c:pt>
                <c:pt idx="146">
                  <c:v>32.1</c:v>
                </c:pt>
                <c:pt idx="147">
                  <c:v>1301</c:v>
                </c:pt>
                <c:pt idx="148">
                  <c:v>27.1</c:v>
                </c:pt>
                <c:pt idx="149">
                  <c:v>10.5</c:v>
                </c:pt>
                <c:pt idx="150">
                  <c:v>5180.7</c:v>
                </c:pt>
                <c:pt idx="151">
                  <c:v>46.9</c:v>
                </c:pt>
                <c:pt idx="152">
                  <c:v>30.4</c:v>
                </c:pt>
                <c:pt idx="153">
                  <c:v>9873.1</c:v>
                </c:pt>
                <c:pt idx="154">
                  <c:v>388.9</c:v>
                </c:pt>
                <c:pt idx="155">
                  <c:v>164.1</c:v>
                </c:pt>
                <c:pt idx="156">
                  <c:v>283</c:v>
                </c:pt>
                <c:pt idx="157">
                  <c:v>103.4</c:v>
                </c:pt>
                <c:pt idx="158">
                  <c:v>3670.7</c:v>
                </c:pt>
                <c:pt idx="159">
                  <c:v>1354.6</c:v>
                </c:pt>
                <c:pt idx="160">
                  <c:v>11229.8</c:v>
                </c:pt>
                <c:pt idx="161">
                  <c:v>93.4</c:v>
                </c:pt>
                <c:pt idx="162">
                  <c:v>9.6</c:v>
                </c:pt>
                <c:pt idx="163">
                  <c:v>34.5</c:v>
                </c:pt>
                <c:pt idx="164">
                  <c:v>606.20000000000005</c:v>
                </c:pt>
                <c:pt idx="165">
                  <c:v>44.5</c:v>
                </c:pt>
                <c:pt idx="166">
                  <c:v>2977</c:v>
                </c:pt>
                <c:pt idx="167">
                  <c:v>116.3</c:v>
                </c:pt>
                <c:pt idx="168">
                  <c:v>1318</c:v>
                </c:pt>
                <c:pt idx="169">
                  <c:v>780.2</c:v>
                </c:pt>
                <c:pt idx="170">
                  <c:v>411.2</c:v>
                </c:pt>
                <c:pt idx="171">
                  <c:v>3958.8</c:v>
                </c:pt>
                <c:pt idx="172">
                  <c:v>3003.8</c:v>
                </c:pt>
                <c:pt idx="173">
                  <c:v>9074.2000000000007</c:v>
                </c:pt>
                <c:pt idx="174">
                  <c:v>12353</c:v>
                </c:pt>
                <c:pt idx="175">
                  <c:v>440</c:v>
                </c:pt>
                <c:pt idx="176">
                  <c:v>287.60000000000002</c:v>
                </c:pt>
                <c:pt idx="177">
                  <c:v>260.60000000000002</c:v>
                </c:pt>
                <c:pt idx="178">
                  <c:v>191.3</c:v>
                </c:pt>
                <c:pt idx="179">
                  <c:v>156.19999999999999</c:v>
                </c:pt>
                <c:pt idx="180">
                  <c:v>149.9</c:v>
                </c:pt>
                <c:pt idx="181">
                  <c:v>110.6</c:v>
                </c:pt>
                <c:pt idx="182">
                  <c:v>107.4</c:v>
                </c:pt>
                <c:pt idx="183">
                  <c:v>100.6</c:v>
                </c:pt>
                <c:pt idx="184">
                  <c:v>96.1</c:v>
                </c:pt>
                <c:pt idx="185">
                  <c:v>92.2</c:v>
                </c:pt>
                <c:pt idx="186">
                  <c:v>92</c:v>
                </c:pt>
                <c:pt idx="187">
                  <c:v>88.1</c:v>
                </c:pt>
                <c:pt idx="188">
                  <c:v>85.4</c:v>
                </c:pt>
                <c:pt idx="189">
                  <c:v>82.9</c:v>
                </c:pt>
                <c:pt idx="190">
                  <c:v>75.7</c:v>
                </c:pt>
                <c:pt idx="191">
                  <c:v>69.599999999999994</c:v>
                </c:pt>
                <c:pt idx="192">
                  <c:v>69.599999999999994</c:v>
                </c:pt>
                <c:pt idx="193">
                  <c:v>65.099999999999994</c:v>
                </c:pt>
                <c:pt idx="194">
                  <c:v>62.6</c:v>
                </c:pt>
                <c:pt idx="195">
                  <c:v>60.9</c:v>
                </c:pt>
                <c:pt idx="196">
                  <c:v>60.6</c:v>
                </c:pt>
                <c:pt idx="197">
                  <c:v>60.5</c:v>
                </c:pt>
                <c:pt idx="198">
                  <c:v>60.1</c:v>
                </c:pt>
                <c:pt idx="199">
                  <c:v>59.6</c:v>
                </c:pt>
                <c:pt idx="200">
                  <c:v>57.7</c:v>
                </c:pt>
                <c:pt idx="201">
                  <c:v>53.1</c:v>
                </c:pt>
                <c:pt idx="202">
                  <c:v>51.2</c:v>
                </c:pt>
                <c:pt idx="203">
                  <c:v>48.1</c:v>
                </c:pt>
                <c:pt idx="204">
                  <c:v>46.5</c:v>
                </c:pt>
                <c:pt idx="205">
                  <c:v>45.5</c:v>
                </c:pt>
                <c:pt idx="206">
                  <c:v>44.5</c:v>
                </c:pt>
                <c:pt idx="207">
                  <c:v>44.4</c:v>
                </c:pt>
                <c:pt idx="208">
                  <c:v>41.9</c:v>
                </c:pt>
                <c:pt idx="209">
                  <c:v>41.5</c:v>
                </c:pt>
                <c:pt idx="210">
                  <c:v>40.5</c:v>
                </c:pt>
                <c:pt idx="211">
                  <c:v>38.799999999999997</c:v>
                </c:pt>
                <c:pt idx="212">
                  <c:v>38.6</c:v>
                </c:pt>
                <c:pt idx="213">
                  <c:v>38.1</c:v>
                </c:pt>
                <c:pt idx="214">
                  <c:v>36.9</c:v>
                </c:pt>
                <c:pt idx="215">
                  <c:v>34.9</c:v>
                </c:pt>
                <c:pt idx="216">
                  <c:v>34.4</c:v>
                </c:pt>
                <c:pt idx="217">
                  <c:v>33.9</c:v>
                </c:pt>
                <c:pt idx="218">
                  <c:v>32.799999999999997</c:v>
                </c:pt>
                <c:pt idx="219">
                  <c:v>32.1</c:v>
                </c:pt>
                <c:pt idx="220">
                  <c:v>31.5</c:v>
                </c:pt>
                <c:pt idx="221">
                  <c:v>31.5</c:v>
                </c:pt>
                <c:pt idx="222">
                  <c:v>31.5</c:v>
                </c:pt>
                <c:pt idx="223">
                  <c:v>29.5</c:v>
                </c:pt>
                <c:pt idx="224">
                  <c:v>28.1</c:v>
                </c:pt>
                <c:pt idx="225">
                  <c:v>27</c:v>
                </c:pt>
                <c:pt idx="226">
                  <c:v>25.3</c:v>
                </c:pt>
                <c:pt idx="227">
                  <c:v>24.5</c:v>
                </c:pt>
                <c:pt idx="228">
                  <c:v>24.2</c:v>
                </c:pt>
                <c:pt idx="229">
                  <c:v>23.1</c:v>
                </c:pt>
                <c:pt idx="230">
                  <c:v>22.8</c:v>
                </c:pt>
                <c:pt idx="231">
                  <c:v>22.6</c:v>
                </c:pt>
                <c:pt idx="232">
                  <c:v>22.4</c:v>
                </c:pt>
                <c:pt idx="233">
                  <c:v>22.3</c:v>
                </c:pt>
                <c:pt idx="234">
                  <c:v>22.2</c:v>
                </c:pt>
                <c:pt idx="235">
                  <c:v>22.2</c:v>
                </c:pt>
                <c:pt idx="236">
                  <c:v>21.6</c:v>
                </c:pt>
                <c:pt idx="237">
                  <c:v>21.5</c:v>
                </c:pt>
                <c:pt idx="238">
                  <c:v>21.1</c:v>
                </c:pt>
                <c:pt idx="239">
                  <c:v>20.8</c:v>
                </c:pt>
                <c:pt idx="240">
                  <c:v>20.8</c:v>
                </c:pt>
                <c:pt idx="241">
                  <c:v>20.5</c:v>
                </c:pt>
                <c:pt idx="242">
                  <c:v>20.5</c:v>
                </c:pt>
                <c:pt idx="243">
                  <c:v>20.2</c:v>
                </c:pt>
                <c:pt idx="244">
                  <c:v>19.899999999999999</c:v>
                </c:pt>
                <c:pt idx="245">
                  <c:v>18.899999999999999</c:v>
                </c:pt>
                <c:pt idx="246">
                  <c:v>18.3</c:v>
                </c:pt>
                <c:pt idx="247">
                  <c:v>18.100000000000001</c:v>
                </c:pt>
                <c:pt idx="248">
                  <c:v>17.600000000000001</c:v>
                </c:pt>
                <c:pt idx="249">
                  <c:v>17.600000000000001</c:v>
                </c:pt>
                <c:pt idx="250">
                  <c:v>17.5</c:v>
                </c:pt>
                <c:pt idx="251">
                  <c:v>17.2</c:v>
                </c:pt>
                <c:pt idx="252">
                  <c:v>16.8</c:v>
                </c:pt>
                <c:pt idx="253">
                  <c:v>16.600000000000001</c:v>
                </c:pt>
                <c:pt idx="254">
                  <c:v>16.3</c:v>
                </c:pt>
                <c:pt idx="255">
                  <c:v>15.2</c:v>
                </c:pt>
                <c:pt idx="256">
                  <c:v>15</c:v>
                </c:pt>
                <c:pt idx="257">
                  <c:v>14.4</c:v>
                </c:pt>
                <c:pt idx="258">
                  <c:v>13.9</c:v>
                </c:pt>
                <c:pt idx="259">
                  <c:v>13.3</c:v>
                </c:pt>
                <c:pt idx="260">
                  <c:v>12.9</c:v>
                </c:pt>
                <c:pt idx="261">
                  <c:v>12.4</c:v>
                </c:pt>
                <c:pt idx="262">
                  <c:v>12.3</c:v>
                </c:pt>
                <c:pt idx="263">
                  <c:v>11.5</c:v>
                </c:pt>
                <c:pt idx="264">
                  <c:v>11.4</c:v>
                </c:pt>
                <c:pt idx="265">
                  <c:v>11.4</c:v>
                </c:pt>
                <c:pt idx="266">
                  <c:v>11.2</c:v>
                </c:pt>
                <c:pt idx="267">
                  <c:v>11.1</c:v>
                </c:pt>
                <c:pt idx="268">
                  <c:v>11.1</c:v>
                </c:pt>
                <c:pt idx="269">
                  <c:v>11.1</c:v>
                </c:pt>
                <c:pt idx="270">
                  <c:v>11</c:v>
                </c:pt>
                <c:pt idx="271">
                  <c:v>11</c:v>
                </c:pt>
                <c:pt idx="272">
                  <c:v>10.8</c:v>
                </c:pt>
                <c:pt idx="273">
                  <c:v>10.5</c:v>
                </c:pt>
                <c:pt idx="274">
                  <c:v>9.8000000000000007</c:v>
                </c:pt>
                <c:pt idx="275">
                  <c:v>9.6</c:v>
                </c:pt>
                <c:pt idx="276">
                  <c:v>9.6</c:v>
                </c:pt>
                <c:pt idx="277">
                  <c:v>9.5</c:v>
                </c:pt>
                <c:pt idx="278">
                  <c:v>9.4</c:v>
                </c:pt>
                <c:pt idx="279">
                  <c:v>9.3000000000000007</c:v>
                </c:pt>
                <c:pt idx="280">
                  <c:v>8.6999999999999993</c:v>
                </c:pt>
                <c:pt idx="281">
                  <c:v>8.6999999999999993</c:v>
                </c:pt>
                <c:pt idx="282">
                  <c:v>8.6</c:v>
                </c:pt>
                <c:pt idx="283">
                  <c:v>8.6</c:v>
                </c:pt>
                <c:pt idx="284">
                  <c:v>8.5</c:v>
                </c:pt>
                <c:pt idx="285">
                  <c:v>8.5</c:v>
                </c:pt>
                <c:pt idx="286">
                  <c:v>8.5</c:v>
                </c:pt>
                <c:pt idx="287">
                  <c:v>7.8</c:v>
                </c:pt>
                <c:pt idx="288">
                  <c:v>7.6</c:v>
                </c:pt>
                <c:pt idx="289">
                  <c:v>7.3</c:v>
                </c:pt>
                <c:pt idx="290">
                  <c:v>7.3</c:v>
                </c:pt>
                <c:pt idx="291">
                  <c:v>7.2</c:v>
                </c:pt>
                <c:pt idx="292">
                  <c:v>7.1</c:v>
                </c:pt>
                <c:pt idx="293">
                  <c:v>7</c:v>
                </c:pt>
                <c:pt idx="294">
                  <c:v>5.7</c:v>
                </c:pt>
                <c:pt idx="295">
                  <c:v>5.5</c:v>
                </c:pt>
                <c:pt idx="296">
                  <c:v>5</c:v>
                </c:pt>
                <c:pt idx="297">
                  <c:v>4.9000000000000004</c:v>
                </c:pt>
                <c:pt idx="298">
                  <c:v>4.0999999999999996</c:v>
                </c:pt>
                <c:pt idx="299">
                  <c:v>3.5</c:v>
                </c:pt>
                <c:pt idx="300">
                  <c:v>3.1</c:v>
                </c:pt>
                <c:pt idx="301">
                  <c:v>3</c:v>
                </c:pt>
                <c:pt idx="302">
                  <c:v>2.9</c:v>
                </c:pt>
                <c:pt idx="303">
                  <c:v>2.8</c:v>
                </c:pt>
                <c:pt idx="304">
                  <c:v>2.8</c:v>
                </c:pt>
                <c:pt idx="305">
                  <c:v>2.6</c:v>
                </c:pt>
                <c:pt idx="306">
                  <c:v>2.2000000000000002</c:v>
                </c:pt>
                <c:pt idx="307">
                  <c:v>2.1</c:v>
                </c:pt>
                <c:pt idx="308">
                  <c:v>2.1</c:v>
                </c:pt>
                <c:pt idx="309">
                  <c:v>2.1</c:v>
                </c:pt>
                <c:pt idx="310">
                  <c:v>1</c:v>
                </c:pt>
                <c:pt idx="311">
                  <c:v>1</c:v>
                </c:pt>
                <c:pt idx="312">
                  <c:v>0.9</c:v>
                </c:pt>
                <c:pt idx="313">
                  <c:v>0.9</c:v>
                </c:pt>
                <c:pt idx="314">
                  <c:v>0.8</c:v>
                </c:pt>
                <c:pt idx="315">
                  <c:v>0.8</c:v>
                </c:pt>
                <c:pt idx="316">
                  <c:v>0.8</c:v>
                </c:pt>
                <c:pt idx="317">
                  <c:v>0.7</c:v>
                </c:pt>
                <c:pt idx="318">
                  <c:v>0.7</c:v>
                </c:pt>
                <c:pt idx="319">
                  <c:v>0.6</c:v>
                </c:pt>
                <c:pt idx="320">
                  <c:v>0.6</c:v>
                </c:pt>
                <c:pt idx="321">
                  <c:v>0.6</c:v>
                </c:pt>
                <c:pt idx="322">
                  <c:v>0.5</c:v>
                </c:pt>
                <c:pt idx="323">
                  <c:v>0.5</c:v>
                </c:pt>
                <c:pt idx="324">
                  <c:v>0.5</c:v>
                </c:pt>
                <c:pt idx="325">
                  <c:v>0.4</c:v>
                </c:pt>
                <c:pt idx="326">
                  <c:v>0.4</c:v>
                </c:pt>
                <c:pt idx="327">
                  <c:v>0.4</c:v>
                </c:pt>
                <c:pt idx="328">
                  <c:v>0.4</c:v>
                </c:pt>
                <c:pt idx="329">
                  <c:v>0.3</c:v>
                </c:pt>
                <c:pt idx="330">
                  <c:v>0.3</c:v>
                </c:pt>
                <c:pt idx="331">
                  <c:v>0.3</c:v>
                </c:pt>
                <c:pt idx="332">
                  <c:v>0.3</c:v>
                </c:pt>
                <c:pt idx="333">
                  <c:v>0.2</c:v>
                </c:pt>
                <c:pt idx="334">
                  <c:v>0.2</c:v>
                </c:pt>
                <c:pt idx="335">
                  <c:v>0.1</c:v>
                </c:pt>
                <c:pt idx="336">
                  <c:v>0.1</c:v>
                </c:pt>
                <c:pt idx="337">
                  <c:v>0.1</c:v>
                </c:pt>
                <c:pt idx="338">
                  <c:v>0.1</c:v>
                </c:pt>
                <c:pt idx="339">
                  <c:v>0.1</c:v>
                </c:pt>
                <c:pt idx="340">
                  <c:v>0.1</c:v>
                </c:pt>
                <c:pt idx="341">
                  <c:v>0</c:v>
                </c:pt>
                <c:pt idx="342">
                  <c:v>0</c:v>
                </c:pt>
              </c:numCache>
            </c:numRef>
          </c:xVal>
          <c:yVal>
            <c:numRef>
              <c:f>'Sin outlayers'!$C$2:$C$344</c:f>
              <c:numCache>
                <c:formatCode>General</c:formatCode>
                <c:ptCount val="343"/>
                <c:pt idx="0">
                  <c:v>35.700000000000003</c:v>
                </c:pt>
                <c:pt idx="1">
                  <c:v>25.3</c:v>
                </c:pt>
                <c:pt idx="2">
                  <c:v>23.9</c:v>
                </c:pt>
                <c:pt idx="3">
                  <c:v>23.9</c:v>
                </c:pt>
                <c:pt idx="4">
                  <c:v>23.1</c:v>
                </c:pt>
                <c:pt idx="5">
                  <c:v>19.2</c:v>
                </c:pt>
                <c:pt idx="6">
                  <c:v>17.399999999999999</c:v>
                </c:pt>
                <c:pt idx="7">
                  <c:v>16.8</c:v>
                </c:pt>
                <c:pt idx="8">
                  <c:v>16.5</c:v>
                </c:pt>
                <c:pt idx="9">
                  <c:v>16.100000000000001</c:v>
                </c:pt>
                <c:pt idx="10">
                  <c:v>15.8</c:v>
                </c:pt>
                <c:pt idx="11">
                  <c:v>15.8</c:v>
                </c:pt>
                <c:pt idx="12">
                  <c:v>15.5</c:v>
                </c:pt>
                <c:pt idx="13">
                  <c:v>15.2</c:v>
                </c:pt>
                <c:pt idx="14">
                  <c:v>14.5</c:v>
                </c:pt>
                <c:pt idx="15">
                  <c:v>14.3</c:v>
                </c:pt>
                <c:pt idx="16">
                  <c:v>14.1</c:v>
                </c:pt>
                <c:pt idx="17">
                  <c:v>13.9</c:v>
                </c:pt>
                <c:pt idx="18">
                  <c:v>13.8</c:v>
                </c:pt>
                <c:pt idx="19">
                  <c:v>12.7</c:v>
                </c:pt>
                <c:pt idx="20">
                  <c:v>12.4</c:v>
                </c:pt>
                <c:pt idx="21">
                  <c:v>12.1</c:v>
                </c:pt>
                <c:pt idx="22">
                  <c:v>12</c:v>
                </c:pt>
                <c:pt idx="23">
                  <c:v>12</c:v>
                </c:pt>
                <c:pt idx="24">
                  <c:v>11.6</c:v>
                </c:pt>
                <c:pt idx="25">
                  <c:v>11.4</c:v>
                </c:pt>
                <c:pt idx="26">
                  <c:v>11.4</c:v>
                </c:pt>
                <c:pt idx="27">
                  <c:v>10.9</c:v>
                </c:pt>
                <c:pt idx="28">
                  <c:v>10.8</c:v>
                </c:pt>
                <c:pt idx="29">
                  <c:v>10.8</c:v>
                </c:pt>
                <c:pt idx="30">
                  <c:v>10.7</c:v>
                </c:pt>
                <c:pt idx="31">
                  <c:v>10.7</c:v>
                </c:pt>
                <c:pt idx="32">
                  <c:v>10.4</c:v>
                </c:pt>
                <c:pt idx="33">
                  <c:v>10.3</c:v>
                </c:pt>
                <c:pt idx="34">
                  <c:v>9.8000000000000007</c:v>
                </c:pt>
                <c:pt idx="35">
                  <c:v>9.6</c:v>
                </c:pt>
                <c:pt idx="36">
                  <c:v>9.5</c:v>
                </c:pt>
                <c:pt idx="37">
                  <c:v>9.5</c:v>
                </c:pt>
                <c:pt idx="38">
                  <c:v>9.4</c:v>
                </c:pt>
                <c:pt idx="39">
                  <c:v>9.3000000000000007</c:v>
                </c:pt>
                <c:pt idx="40">
                  <c:v>9.1999999999999993</c:v>
                </c:pt>
                <c:pt idx="41">
                  <c:v>8.9</c:v>
                </c:pt>
                <c:pt idx="42">
                  <c:v>8.8000000000000007</c:v>
                </c:pt>
                <c:pt idx="43">
                  <c:v>8.8000000000000007</c:v>
                </c:pt>
                <c:pt idx="44">
                  <c:v>8.6999999999999993</c:v>
                </c:pt>
                <c:pt idx="45">
                  <c:v>8.6999999999999993</c:v>
                </c:pt>
                <c:pt idx="46">
                  <c:v>8.6</c:v>
                </c:pt>
                <c:pt idx="47">
                  <c:v>8.5</c:v>
                </c:pt>
                <c:pt idx="48">
                  <c:v>8.1999999999999993</c:v>
                </c:pt>
                <c:pt idx="49">
                  <c:v>8.1999999999999993</c:v>
                </c:pt>
                <c:pt idx="50">
                  <c:v>8.1</c:v>
                </c:pt>
                <c:pt idx="51">
                  <c:v>8.1</c:v>
                </c:pt>
                <c:pt idx="52">
                  <c:v>8</c:v>
                </c:pt>
                <c:pt idx="53">
                  <c:v>7.9</c:v>
                </c:pt>
                <c:pt idx="54">
                  <c:v>7.9</c:v>
                </c:pt>
                <c:pt idx="55">
                  <c:v>7.8</c:v>
                </c:pt>
                <c:pt idx="56">
                  <c:v>7.8</c:v>
                </c:pt>
                <c:pt idx="57">
                  <c:v>7.6</c:v>
                </c:pt>
                <c:pt idx="58">
                  <c:v>7.6</c:v>
                </c:pt>
                <c:pt idx="59">
                  <c:v>7.6</c:v>
                </c:pt>
                <c:pt idx="60">
                  <c:v>7.5</c:v>
                </c:pt>
                <c:pt idx="61">
                  <c:v>7.4</c:v>
                </c:pt>
                <c:pt idx="62">
                  <c:v>7.4</c:v>
                </c:pt>
                <c:pt idx="63">
                  <c:v>7.3</c:v>
                </c:pt>
                <c:pt idx="64">
                  <c:v>7.2</c:v>
                </c:pt>
                <c:pt idx="65">
                  <c:v>7.1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6.9</c:v>
                </c:pt>
                <c:pt idx="70">
                  <c:v>6.8</c:v>
                </c:pt>
                <c:pt idx="71">
                  <c:v>6.8</c:v>
                </c:pt>
                <c:pt idx="72">
                  <c:v>6.8</c:v>
                </c:pt>
                <c:pt idx="73">
                  <c:v>6.7</c:v>
                </c:pt>
                <c:pt idx="74">
                  <c:v>6.7</c:v>
                </c:pt>
                <c:pt idx="75">
                  <c:v>6.6</c:v>
                </c:pt>
                <c:pt idx="76">
                  <c:v>6.5</c:v>
                </c:pt>
                <c:pt idx="77">
                  <c:v>6.5</c:v>
                </c:pt>
                <c:pt idx="78">
                  <c:v>6.5</c:v>
                </c:pt>
                <c:pt idx="79">
                  <c:v>6.4</c:v>
                </c:pt>
                <c:pt idx="80">
                  <c:v>6.4</c:v>
                </c:pt>
                <c:pt idx="81">
                  <c:v>6.3</c:v>
                </c:pt>
                <c:pt idx="82">
                  <c:v>6.3</c:v>
                </c:pt>
                <c:pt idx="83">
                  <c:v>6.3</c:v>
                </c:pt>
                <c:pt idx="84">
                  <c:v>6.3</c:v>
                </c:pt>
                <c:pt idx="85">
                  <c:v>6.3</c:v>
                </c:pt>
                <c:pt idx="86">
                  <c:v>6.2</c:v>
                </c:pt>
                <c:pt idx="87">
                  <c:v>6.2</c:v>
                </c:pt>
                <c:pt idx="88">
                  <c:v>6.1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5.9</c:v>
                </c:pt>
                <c:pt idx="93">
                  <c:v>5.9</c:v>
                </c:pt>
                <c:pt idx="94">
                  <c:v>5.8</c:v>
                </c:pt>
                <c:pt idx="95">
                  <c:v>5.8</c:v>
                </c:pt>
                <c:pt idx="96">
                  <c:v>5.6</c:v>
                </c:pt>
                <c:pt idx="97">
                  <c:v>5.5</c:v>
                </c:pt>
                <c:pt idx="98">
                  <c:v>5.4</c:v>
                </c:pt>
                <c:pt idx="99">
                  <c:v>5.4</c:v>
                </c:pt>
                <c:pt idx="100">
                  <c:v>5.2</c:v>
                </c:pt>
                <c:pt idx="101">
                  <c:v>5.2</c:v>
                </c:pt>
                <c:pt idx="102">
                  <c:v>5.2</c:v>
                </c:pt>
                <c:pt idx="103">
                  <c:v>5.2</c:v>
                </c:pt>
                <c:pt idx="104">
                  <c:v>5.0999999999999996</c:v>
                </c:pt>
                <c:pt idx="105">
                  <c:v>5.0999999999999996</c:v>
                </c:pt>
                <c:pt idx="106">
                  <c:v>5</c:v>
                </c:pt>
                <c:pt idx="107">
                  <c:v>5</c:v>
                </c:pt>
                <c:pt idx="108">
                  <c:v>5</c:v>
                </c:pt>
                <c:pt idx="109">
                  <c:v>4.9000000000000004</c:v>
                </c:pt>
                <c:pt idx="110">
                  <c:v>4.8</c:v>
                </c:pt>
                <c:pt idx="111">
                  <c:v>4.8</c:v>
                </c:pt>
                <c:pt idx="112">
                  <c:v>4.8</c:v>
                </c:pt>
                <c:pt idx="113">
                  <c:v>4.8</c:v>
                </c:pt>
                <c:pt idx="114">
                  <c:v>4.8</c:v>
                </c:pt>
                <c:pt idx="115">
                  <c:v>4.8</c:v>
                </c:pt>
                <c:pt idx="116">
                  <c:v>4.7</c:v>
                </c:pt>
                <c:pt idx="117">
                  <c:v>4.5</c:v>
                </c:pt>
                <c:pt idx="118">
                  <c:v>4.5</c:v>
                </c:pt>
                <c:pt idx="119">
                  <c:v>4.4000000000000004</c:v>
                </c:pt>
                <c:pt idx="120">
                  <c:v>4.4000000000000004</c:v>
                </c:pt>
                <c:pt idx="121">
                  <c:v>4.4000000000000004</c:v>
                </c:pt>
                <c:pt idx="122">
                  <c:v>4.3</c:v>
                </c:pt>
                <c:pt idx="123">
                  <c:v>4.0999999999999996</c:v>
                </c:pt>
                <c:pt idx="124">
                  <c:v>4</c:v>
                </c:pt>
                <c:pt idx="125">
                  <c:v>4</c:v>
                </c:pt>
                <c:pt idx="126">
                  <c:v>3.9</c:v>
                </c:pt>
                <c:pt idx="127">
                  <c:v>3.9</c:v>
                </c:pt>
                <c:pt idx="128">
                  <c:v>3.9</c:v>
                </c:pt>
                <c:pt idx="129">
                  <c:v>3.9</c:v>
                </c:pt>
                <c:pt idx="130">
                  <c:v>3.8</c:v>
                </c:pt>
                <c:pt idx="131">
                  <c:v>3.7</c:v>
                </c:pt>
                <c:pt idx="132">
                  <c:v>3.7</c:v>
                </c:pt>
                <c:pt idx="133">
                  <c:v>3.7</c:v>
                </c:pt>
                <c:pt idx="134">
                  <c:v>3.6</c:v>
                </c:pt>
                <c:pt idx="135">
                  <c:v>3.5</c:v>
                </c:pt>
                <c:pt idx="136">
                  <c:v>3.5</c:v>
                </c:pt>
                <c:pt idx="137">
                  <c:v>3.3</c:v>
                </c:pt>
                <c:pt idx="138">
                  <c:v>3.3</c:v>
                </c:pt>
                <c:pt idx="139">
                  <c:v>3.3</c:v>
                </c:pt>
                <c:pt idx="140">
                  <c:v>3.3</c:v>
                </c:pt>
                <c:pt idx="141">
                  <c:v>3.3</c:v>
                </c:pt>
                <c:pt idx="142">
                  <c:v>3.3</c:v>
                </c:pt>
                <c:pt idx="143">
                  <c:v>3.2</c:v>
                </c:pt>
                <c:pt idx="144">
                  <c:v>3</c:v>
                </c:pt>
                <c:pt idx="145">
                  <c:v>3</c:v>
                </c:pt>
                <c:pt idx="146">
                  <c:v>2.9</c:v>
                </c:pt>
                <c:pt idx="147">
                  <c:v>2.8</c:v>
                </c:pt>
                <c:pt idx="148">
                  <c:v>2.8</c:v>
                </c:pt>
                <c:pt idx="149">
                  <c:v>2.8</c:v>
                </c:pt>
                <c:pt idx="150">
                  <c:v>2.7</c:v>
                </c:pt>
                <c:pt idx="151">
                  <c:v>2.6</c:v>
                </c:pt>
                <c:pt idx="152">
                  <c:v>2.6</c:v>
                </c:pt>
                <c:pt idx="153">
                  <c:v>2.5</c:v>
                </c:pt>
                <c:pt idx="154">
                  <c:v>2.5</c:v>
                </c:pt>
                <c:pt idx="155">
                  <c:v>2.4</c:v>
                </c:pt>
                <c:pt idx="156">
                  <c:v>2.2999999999999998</c:v>
                </c:pt>
                <c:pt idx="157">
                  <c:v>2.2999999999999998</c:v>
                </c:pt>
                <c:pt idx="158">
                  <c:v>2.2000000000000002</c:v>
                </c:pt>
                <c:pt idx="159">
                  <c:v>2.2000000000000002</c:v>
                </c:pt>
                <c:pt idx="160">
                  <c:v>2.1</c:v>
                </c:pt>
                <c:pt idx="161">
                  <c:v>2.1</c:v>
                </c:pt>
                <c:pt idx="162">
                  <c:v>2.1</c:v>
                </c:pt>
                <c:pt idx="163">
                  <c:v>2</c:v>
                </c:pt>
                <c:pt idx="164">
                  <c:v>1.9</c:v>
                </c:pt>
                <c:pt idx="165">
                  <c:v>1.8</c:v>
                </c:pt>
                <c:pt idx="166">
                  <c:v>1.5</c:v>
                </c:pt>
                <c:pt idx="167">
                  <c:v>1.5</c:v>
                </c:pt>
                <c:pt idx="168">
                  <c:v>1.4</c:v>
                </c:pt>
                <c:pt idx="169">
                  <c:v>1.3</c:v>
                </c:pt>
                <c:pt idx="170">
                  <c:v>1.2</c:v>
                </c:pt>
                <c:pt idx="171">
                  <c:v>1</c:v>
                </c:pt>
                <c:pt idx="172">
                  <c:v>1</c:v>
                </c:pt>
                <c:pt idx="173">
                  <c:v>0.7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1BD-468F-B1D6-9074E236F2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7007983"/>
        <c:axId val="63491983"/>
      </c:scatterChart>
      <c:valAx>
        <c:axId val="14970079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s-CL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Densidad</a:t>
                </a:r>
                <a:r>
                  <a:rPr lang="es-CL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poblacional de cada comuna</a:t>
                </a:r>
                <a:endParaRPr lang="es-CL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31211083621602803"/>
              <c:y val="0.8949624866023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63491983"/>
        <c:crosses val="autoZero"/>
        <c:crossBetween val="midCat"/>
      </c:valAx>
      <c:valAx>
        <c:axId val="63491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s-CL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Tasa</a:t>
                </a:r>
                <a:r>
                  <a:rPr lang="es-CL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de homicidios cada 100.000 habitantes</a:t>
                </a:r>
                <a:endParaRPr lang="es-CL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7464129895334107E-2"/>
              <c:y val="0.120312260002869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4970079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d107c1-5124-4618-8c07-1dc2cc2daf4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6EAC0A4CCE2446ACB80EB789127D2B" ma:contentTypeVersion="8" ma:contentTypeDescription="Create a new document." ma:contentTypeScope="" ma:versionID="17766a3158442e9ed615c0f3ac114a4e">
  <xsd:schema xmlns:xsd="http://www.w3.org/2001/XMLSchema" xmlns:xs="http://www.w3.org/2001/XMLSchema" xmlns:p="http://schemas.microsoft.com/office/2006/metadata/properties" xmlns:ns3="b1d107c1-5124-4618-8c07-1dc2cc2daf43" xmlns:ns4="9d5b3a8f-1e1a-4bce-af4b-0b484ced6241" targetNamespace="http://schemas.microsoft.com/office/2006/metadata/properties" ma:root="true" ma:fieldsID="24bc5d05c1f2733c4940cf79b3a2aa41" ns3:_="" ns4:_="">
    <xsd:import namespace="b1d107c1-5124-4618-8c07-1dc2cc2daf43"/>
    <xsd:import namespace="9d5b3a8f-1e1a-4bce-af4b-0b484ced62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107c1-5124-4618-8c07-1dc2cc2da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b3a8f-1e1a-4bce-af4b-0b484ced624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86B04-AF89-49FE-BA44-0C858DEBFF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F7DB96-B5E4-4079-820C-ADDB31EE7A1B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www.w3.org/XML/1998/namespace"/>
    <ds:schemaRef ds:uri="9d5b3a8f-1e1a-4bce-af4b-0b484ced6241"/>
    <ds:schemaRef ds:uri="http://schemas.microsoft.com/office/infopath/2007/PartnerControls"/>
    <ds:schemaRef ds:uri="http://schemas.microsoft.com/office/2006/metadata/properties"/>
    <ds:schemaRef ds:uri="b1d107c1-5124-4618-8c07-1dc2cc2daf43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ABC481B-E29A-425E-A1D5-F8FD1A7AE2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107c1-5124-4618-8c07-1dc2cc2daf43"/>
    <ds:schemaRef ds:uri="9d5b3a8f-1e1a-4bce-af4b-0b484ced6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D88911-4222-4652-A733-05B3CB4AE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3561</Words>
  <Characters>19586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ARRIETA CUEVAS</dc:creator>
  <cp:keywords/>
  <dc:description/>
  <cp:lastModifiedBy>FERNANDA ARRIETA CUEVAS</cp:lastModifiedBy>
  <cp:revision>2</cp:revision>
  <dcterms:created xsi:type="dcterms:W3CDTF">2024-06-17T08:40:00Z</dcterms:created>
  <dcterms:modified xsi:type="dcterms:W3CDTF">2024-06-17T08:40:00Z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0x010100EA6EAC0A4CCE2446ACB80EB789127D2B</vt:lpwstr>
  </property>
  <property fmtid="{D5CDD505-2E9C-101B-9397-08002B2CF9AE}" pid="3" name="MSIP_Label_9f4e9a4a-eb20-4aad-9a64-8872817c1a6f_Enabled">
    <vt:lpwstr>true</vt:lpwstr>
  </property>
  <property fmtid="{D5CDD505-2E9C-101B-9397-08002B2CF9AE}" pid="4" name="MSIP_Label_9f4e9a4a-eb20-4aad-9a64-8872817c1a6f_SetDate">
    <vt:lpwstr>2024-06-07T21:59:45Z</vt:lpwstr>
  </property>
  <property fmtid="{D5CDD505-2E9C-101B-9397-08002B2CF9AE}" pid="5" name="MSIP_Label_9f4e9a4a-eb20-4aad-9a64-8872817c1a6f_Method">
    <vt:lpwstr>Standard</vt:lpwstr>
  </property>
  <property fmtid="{D5CDD505-2E9C-101B-9397-08002B2CF9AE}" pid="6" name="MSIP_Label_9f4e9a4a-eb20-4aad-9a64-8872817c1a6f_Name">
    <vt:lpwstr>defa4170-0d19-0005-0004-bc88714345d2</vt:lpwstr>
  </property>
  <property fmtid="{D5CDD505-2E9C-101B-9397-08002B2CF9AE}" pid="7" name="MSIP_Label_9f4e9a4a-eb20-4aad-9a64-8872817c1a6f_SiteId">
    <vt:lpwstr>7a599002-001c-432c-846e-1ddca9f6b299</vt:lpwstr>
  </property>
  <property fmtid="{D5CDD505-2E9C-101B-9397-08002B2CF9AE}" pid="8" name="MSIP_Label_9f4e9a4a-eb20-4aad-9a64-8872817c1a6f_ActionId">
    <vt:lpwstr>5662ed04-0564-4ba6-ab6c-4a516541faa2</vt:lpwstr>
  </property>
  <property fmtid="{D5CDD505-2E9C-101B-9397-08002B2CF9AE}" pid="9" name="MSIP_Label_9f4e9a4a-eb20-4aad-9a64-8872817c1a6f_ContentBits">
    <vt:lpwstr>0</vt:lpwstr>
  </property>
  <property fmtid="{D5CDD505-2E9C-101B-9397-08002B2CF9AE}" pid="10" name="ZOTERO_PREF_1">
    <vt:lpwstr>&lt;data data-version="3" zotero-version="6.0.36"&gt;&lt;session id="BX08neCP"/&gt;&lt;style id="http://www.zotero.org/styles/apa" locale="es-ES" hasBibliography="1" bibliographyStyleHasBeenSet="1"/&gt;&lt;prefs&gt;&lt;pref name="fieldType" value="Field"/&gt;&lt;pref name="automaticJourn</vt:lpwstr>
  </property>
  <property fmtid="{D5CDD505-2E9C-101B-9397-08002B2CF9AE}" pid="11" name="ZOTERO_PREF_2">
    <vt:lpwstr>alAbbreviations" value="true"/&gt;&lt;/prefs&gt;&lt;/data&gt;</vt:lpwstr>
  </property>
</Properties>
</file>