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6th</w:t>
            </w:r>
            <w:r w:rsidDel="00000000" w:rsidR="00000000" w:rsidRPr="00000000">
              <w:rPr>
                <w:rtl w:val="0"/>
              </w:rPr>
              <w:t xml:space="preserve">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4.23</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3.5 to 3.8</w:t>
      </w:r>
    </w:p>
    <w:p w:rsidR="00000000" w:rsidDel="00000000" w:rsidP="00000000" w:rsidRDefault="00000000" w:rsidRPr="00000000" w14:paraId="0000000B">
      <w:pPr>
        <w:spacing w:line="276" w:lineRule="auto"/>
        <w:rPr>
          <w:sz w:val="32"/>
          <w:szCs w:val="3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A supermesh occurs when two meshes have a similar source (dependent or independent). The first element is the essence of the network in question.</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Networks that contain a number of series-related components, power sources or supermesh are best suited for mesh analysis, whereas networks with parallel-related components, current or supernodium sources are more suited for nodal analysis.</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The second element is the necessary information. If node voltages are necessary, nodal analysis can be expedient. It could be easier to use mesh analysis if branch or mesh currents are needed.</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PSpice is a software research circuit application for computers, which we will progressively use in this text. This section shows how PSpice for Windows can be used to study the dc circuits we have previously learned.</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2"/>
          <w:szCs w:val="32"/>
        </w:rPr>
      </w:pPr>
      <w:r w:rsidDel="00000000" w:rsidR="00000000" w:rsidRPr="00000000">
        <w:rPr>
          <w:sz w:val="32"/>
          <w:szCs w:val="32"/>
          <w:rtl w:val="0"/>
        </w:rPr>
        <w:t xml:space="preserve">Once the circuit is drawn and stored as a test 310.sch, we use Analysis/Simulation to run PSpice.</w:t>
      </w:r>
    </w:p>
    <w:p w:rsidR="00000000" w:rsidDel="00000000" w:rsidP="00000000" w:rsidRDefault="00000000" w:rsidRPr="00000000" w14:paraId="00000015">
      <w:pPr>
        <w:spacing w:line="276" w:lineRule="auto"/>
        <w:rPr>
          <w:sz w:val="32"/>
          <w:szCs w:val="32"/>
        </w:rPr>
      </w:pPr>
      <w:r w:rsidDel="00000000" w:rsidR="00000000" w:rsidRPr="00000000">
        <w:rPr>
          <w:rtl w:val="0"/>
        </w:rPr>
      </w:r>
    </w:p>
    <w:p w:rsidR="00000000" w:rsidDel="00000000" w:rsidP="00000000" w:rsidRDefault="00000000" w:rsidRPr="00000000" w14:paraId="00000016">
      <w:pPr>
        <w:spacing w:line="276" w:lineRule="auto"/>
        <w:rPr>
          <w:b w:val="1"/>
          <w:sz w:val="32"/>
          <w:szCs w:val="32"/>
        </w:rPr>
      </w:pPr>
      <w:r w:rsidDel="00000000" w:rsidR="00000000" w:rsidRPr="00000000">
        <w:rPr>
          <w:rtl w:val="0"/>
        </w:rPr>
      </w:r>
    </w:p>
    <w:p w:rsidR="00000000" w:rsidDel="00000000" w:rsidP="00000000" w:rsidRDefault="00000000" w:rsidRPr="00000000" w14:paraId="00000017">
      <w:pPr>
        <w:spacing w:line="276" w:lineRule="auto"/>
        <w:rPr>
          <w:b w:val="1"/>
          <w:sz w:val="34"/>
          <w:szCs w:val="34"/>
        </w:rPr>
      </w:pPr>
      <w:r w:rsidDel="00000000" w:rsidR="00000000" w:rsidRPr="00000000">
        <w:rPr>
          <w:b w:val="1"/>
          <w:sz w:val="34"/>
          <w:szCs w:val="34"/>
          <w:rtl w:val="0"/>
        </w:rPr>
        <w:t xml:space="preserve">Practice Problem Solutions from chapters 3.5 to 3.8</w:t>
      </w:r>
    </w:p>
    <w:p w:rsidR="00000000" w:rsidDel="00000000" w:rsidP="00000000" w:rsidRDefault="00000000" w:rsidRPr="00000000" w14:paraId="00000018">
      <w:pPr>
        <w:spacing w:line="276" w:lineRule="auto"/>
        <w:rPr>
          <w:b w:val="1"/>
          <w:sz w:val="32"/>
          <w:szCs w:val="32"/>
        </w:rPr>
      </w:pPr>
      <w:r w:rsidDel="00000000" w:rsidR="00000000" w:rsidRPr="00000000">
        <w:rPr>
          <w:b w:val="1"/>
          <w:sz w:val="32"/>
          <w:szCs w:val="32"/>
        </w:rPr>
        <w:drawing>
          <wp:inline distB="114300" distT="114300" distL="114300" distR="114300">
            <wp:extent cx="5943600" cy="8864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864600"/>
                    </a:xfrm>
                    <a:prstGeom prst="rect"/>
                    <a:ln/>
                  </pic:spPr>
                </pic:pic>
              </a:graphicData>
            </a:graphic>
          </wp:inline>
        </w:drawing>
      </w:r>
      <w:r w:rsidDel="00000000" w:rsidR="00000000" w:rsidRPr="00000000">
        <w:rPr>
          <w:b w:val="1"/>
          <w:sz w:val="32"/>
          <w:szCs w:val="32"/>
        </w:rPr>
        <w:drawing>
          <wp:inline distB="114300" distT="114300" distL="114300" distR="114300">
            <wp:extent cx="5943600" cy="8267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26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