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81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6825"/>
        <w:tblGridChange w:id="0">
          <w:tblGrid>
            <w:gridCol w:w="1320"/>
            <w:gridCol w:w="6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120" w:lineRule="auto"/>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120" w:lineRule="auto"/>
              <w:rPr/>
            </w:pPr>
            <w:r w:rsidDel="00000000" w:rsidR="00000000" w:rsidRPr="00000000">
              <w:rPr>
                <w:rtl w:val="0"/>
              </w:rPr>
              <w:t xml:space="preserve">6th homework in the Electric Circuit Theory class by 201923250</w:t>
            </w:r>
          </w:p>
        </w:tc>
      </w:tr>
    </w:tbl>
    <w:p w:rsidR="00000000" w:rsidDel="00000000" w:rsidP="00000000" w:rsidRDefault="00000000" w:rsidRPr="00000000" w14:paraId="00000004">
      <w:pPr>
        <w:spacing w:line="120"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12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120" w:lineRule="auto"/>
              <w:rPr/>
            </w:pPr>
            <w:r w:rsidDel="00000000" w:rsidR="00000000" w:rsidRPr="00000000">
              <w:rPr>
                <w:rtl w:val="0"/>
              </w:rPr>
              <w:t xml:space="preserve">201923250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12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120" w:lineRule="auto"/>
              <w:rPr/>
            </w:pPr>
            <w:r w:rsidDel="00000000" w:rsidR="00000000" w:rsidRPr="00000000">
              <w:rPr>
                <w:rtl w:val="0"/>
              </w:rPr>
              <w:t xml:space="preserve">11.10.2020</w:t>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30"/>
          <w:szCs w:val="30"/>
        </w:rPr>
      </w:pPr>
      <w:r w:rsidDel="00000000" w:rsidR="00000000" w:rsidRPr="00000000">
        <w:rPr>
          <w:b w:val="1"/>
          <w:sz w:val="30"/>
          <w:szCs w:val="30"/>
          <w:rtl w:val="0"/>
        </w:rPr>
        <w:t xml:space="preserve">Summarization for sections from 9.5 to 9.7</w:t>
      </w:r>
    </w:p>
    <w:p w:rsidR="00000000" w:rsidDel="00000000" w:rsidP="00000000" w:rsidRDefault="00000000" w:rsidRPr="00000000" w14:paraId="0000000B">
      <w:pPr>
        <w:rPr>
          <w:sz w:val="26"/>
          <w:szCs w:val="26"/>
          <w:highlight w:val="white"/>
        </w:rPr>
      </w:pPr>
      <w:r w:rsidDel="00000000" w:rsidR="00000000" w:rsidRPr="00000000">
        <w:rPr>
          <w:sz w:val="26"/>
          <w:szCs w:val="26"/>
          <w:highlight w:val="white"/>
          <w:rtl w:val="0"/>
        </w:rPr>
        <w:t xml:space="preserve">The impedance </w:t>
      </w:r>
      <w:r w:rsidDel="00000000" w:rsidR="00000000" w:rsidRPr="00000000">
        <w:rPr>
          <w:sz w:val="26"/>
          <w:szCs w:val="26"/>
          <w:highlight w:val="white"/>
          <w:rtl w:val="0"/>
        </w:rPr>
        <w:t xml:space="preserve">is the </w:t>
      </w:r>
      <w:r w:rsidDel="00000000" w:rsidR="00000000" w:rsidRPr="00000000">
        <w:rPr>
          <w:sz w:val="26"/>
          <w:szCs w:val="26"/>
          <w:highlight w:val="white"/>
          <w:rtl w:val="0"/>
        </w:rPr>
        <w:t xml:space="preserve">opposition to the sinusoidal current flow in the circuit. The impedance is the two-phasor ratio, </w:t>
      </w:r>
      <w:r w:rsidDel="00000000" w:rsidR="00000000" w:rsidRPr="00000000">
        <w:rPr>
          <w:sz w:val="26"/>
          <w:szCs w:val="26"/>
          <w:highlight w:val="white"/>
          <w:rtl w:val="0"/>
        </w:rPr>
        <w:t xml:space="preserve">but </w:t>
      </w:r>
      <w:r w:rsidDel="00000000" w:rsidR="00000000" w:rsidRPr="00000000">
        <w:rPr>
          <w:sz w:val="26"/>
          <w:szCs w:val="26"/>
          <w:highlight w:val="white"/>
          <w:rtl w:val="0"/>
        </w:rPr>
        <w:t xml:space="preserve">it is not a phasor, </w:t>
      </w:r>
      <w:r w:rsidDel="00000000" w:rsidR="00000000" w:rsidRPr="00000000">
        <w:rPr>
          <w:sz w:val="26"/>
          <w:szCs w:val="26"/>
          <w:highlight w:val="white"/>
          <w:rtl w:val="0"/>
        </w:rPr>
        <w:t xml:space="preserve">since </w:t>
      </w:r>
      <w:r w:rsidDel="00000000" w:rsidR="00000000" w:rsidRPr="00000000">
        <w:rPr>
          <w:sz w:val="26"/>
          <w:szCs w:val="26"/>
          <w:highlight w:val="white"/>
          <w:rtl w:val="0"/>
        </w:rPr>
        <w:t xml:space="preserve">it does not </w:t>
      </w:r>
      <w:r w:rsidDel="00000000" w:rsidR="00000000" w:rsidRPr="00000000">
        <w:rPr>
          <w:sz w:val="26"/>
          <w:szCs w:val="26"/>
          <w:highlight w:val="white"/>
          <w:rtl w:val="0"/>
        </w:rPr>
        <w:t xml:space="preserve">fit </w:t>
      </w:r>
      <w:r w:rsidDel="00000000" w:rsidR="00000000" w:rsidRPr="00000000">
        <w:rPr>
          <w:sz w:val="26"/>
          <w:szCs w:val="26"/>
          <w:highlight w:val="white"/>
          <w:rtl w:val="0"/>
        </w:rPr>
        <w:t xml:space="preserve">a sinusoidal varying </w:t>
      </w:r>
      <w:r w:rsidDel="00000000" w:rsidR="00000000" w:rsidRPr="00000000">
        <w:rPr>
          <w:sz w:val="26"/>
          <w:szCs w:val="26"/>
          <w:highlight w:val="white"/>
          <w:rtl w:val="0"/>
        </w:rPr>
        <w:t xml:space="preserve">number. </w:t>
      </w:r>
    </w:p>
    <w:p w:rsidR="00000000" w:rsidDel="00000000" w:rsidP="00000000" w:rsidRDefault="00000000" w:rsidRPr="00000000" w14:paraId="0000000C">
      <w:pPr>
        <w:rPr>
          <w:sz w:val="26"/>
          <w:szCs w:val="26"/>
          <w:highlight w:val="white"/>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sz w:val="26"/>
          <w:szCs w:val="26"/>
          <w:highlight w:val="white"/>
          <w:rtl w:val="0"/>
        </w:rPr>
        <w:t xml:space="preserve">Reaction </w:t>
      </w:r>
      <w:r w:rsidDel="00000000" w:rsidR="00000000" w:rsidRPr="00000000">
        <w:rPr>
          <w:sz w:val="26"/>
          <w:szCs w:val="26"/>
          <w:highlight w:val="white"/>
          <w:rtl w:val="0"/>
        </w:rPr>
        <w:t xml:space="preserve">X may be </w:t>
      </w:r>
      <w:r w:rsidDel="00000000" w:rsidR="00000000" w:rsidRPr="00000000">
        <w:rPr>
          <w:sz w:val="26"/>
          <w:szCs w:val="26"/>
          <w:highlight w:val="white"/>
          <w:rtl w:val="0"/>
        </w:rPr>
        <w:t xml:space="preserve">either </w:t>
      </w:r>
      <w:r w:rsidDel="00000000" w:rsidR="00000000" w:rsidRPr="00000000">
        <w:rPr>
          <w:sz w:val="26"/>
          <w:szCs w:val="26"/>
          <w:highlight w:val="white"/>
          <w:rtl w:val="0"/>
        </w:rPr>
        <w:t xml:space="preserve">positive or negative. We </w:t>
      </w:r>
      <w:r w:rsidDel="00000000" w:rsidR="00000000" w:rsidRPr="00000000">
        <w:rPr>
          <w:sz w:val="26"/>
          <w:szCs w:val="26"/>
          <w:highlight w:val="white"/>
          <w:rtl w:val="0"/>
        </w:rPr>
        <w:t xml:space="preserve">conclude </w:t>
      </w:r>
      <w:r w:rsidDel="00000000" w:rsidR="00000000" w:rsidRPr="00000000">
        <w:rPr>
          <w:sz w:val="26"/>
          <w:szCs w:val="26"/>
          <w:highlight w:val="white"/>
          <w:rtl w:val="0"/>
        </w:rPr>
        <w:t xml:space="preserve">that </w:t>
      </w:r>
      <w:r w:rsidDel="00000000" w:rsidR="00000000" w:rsidRPr="00000000">
        <w:rPr>
          <w:sz w:val="26"/>
          <w:szCs w:val="26"/>
          <w:highlight w:val="white"/>
          <w:rtl w:val="0"/>
        </w:rPr>
        <w:t xml:space="preserve">if </w:t>
      </w:r>
      <w:r w:rsidDel="00000000" w:rsidR="00000000" w:rsidRPr="00000000">
        <w:rPr>
          <w:sz w:val="26"/>
          <w:szCs w:val="26"/>
          <w:highlight w:val="white"/>
          <w:rtl w:val="0"/>
        </w:rPr>
        <w:t xml:space="preserve">X is positive or capacitive when X is negative, the impedance is inductive. Reciprocal, measured in siemens (S), is the admittance Y. The </w:t>
      </w:r>
      <w:r w:rsidDel="00000000" w:rsidR="00000000" w:rsidRPr="00000000">
        <w:rPr>
          <w:sz w:val="26"/>
          <w:szCs w:val="26"/>
          <w:highlight w:val="white"/>
          <w:rtl w:val="0"/>
        </w:rPr>
        <w:t xml:space="preserve">entry </w:t>
      </w:r>
      <w:r w:rsidDel="00000000" w:rsidR="00000000" w:rsidRPr="00000000">
        <w:rPr>
          <w:sz w:val="26"/>
          <w:szCs w:val="26"/>
          <w:highlight w:val="white"/>
          <w:rtl w:val="0"/>
        </w:rPr>
        <w:t xml:space="preserve">of an </w:t>
      </w:r>
      <w:r w:rsidDel="00000000" w:rsidR="00000000" w:rsidRPr="00000000">
        <w:rPr>
          <w:sz w:val="26"/>
          <w:szCs w:val="26"/>
          <w:highlight w:val="white"/>
          <w:rtl w:val="0"/>
        </w:rPr>
        <w:t xml:space="preserve">entity </w:t>
      </w:r>
      <w:r w:rsidDel="00000000" w:rsidR="00000000" w:rsidRPr="00000000">
        <w:rPr>
          <w:sz w:val="26"/>
          <w:szCs w:val="26"/>
          <w:highlight w:val="white"/>
          <w:rtl w:val="0"/>
        </w:rPr>
        <w:t xml:space="preserve">or a circuit is the ratio </w:t>
      </w:r>
      <w:r w:rsidDel="00000000" w:rsidR="00000000" w:rsidRPr="00000000">
        <w:rPr>
          <w:sz w:val="26"/>
          <w:szCs w:val="26"/>
          <w:highlight w:val="white"/>
          <w:rtl w:val="0"/>
        </w:rPr>
        <w:t xml:space="preserve">between </w:t>
      </w:r>
      <w:r w:rsidDel="00000000" w:rsidR="00000000" w:rsidRPr="00000000">
        <w:rPr>
          <w:sz w:val="26"/>
          <w:szCs w:val="26"/>
          <w:highlight w:val="white"/>
          <w:rtl w:val="0"/>
        </w:rPr>
        <w:t xml:space="preserve">the </w:t>
      </w:r>
      <w:r w:rsidDel="00000000" w:rsidR="00000000" w:rsidRPr="00000000">
        <w:rPr>
          <w:sz w:val="26"/>
          <w:szCs w:val="26"/>
          <w:highlight w:val="white"/>
          <w:rtl w:val="0"/>
        </w:rPr>
        <w:t xml:space="preserve">phenotype and </w:t>
      </w:r>
      <w:r w:rsidDel="00000000" w:rsidR="00000000" w:rsidRPr="00000000">
        <w:rPr>
          <w:sz w:val="26"/>
          <w:szCs w:val="26"/>
          <w:highlight w:val="white"/>
          <w:rtl w:val="0"/>
        </w:rPr>
        <w:t xml:space="preserve">the </w:t>
      </w:r>
      <w:r w:rsidDel="00000000" w:rsidR="00000000" w:rsidRPr="00000000">
        <w:rPr>
          <w:sz w:val="26"/>
          <w:szCs w:val="26"/>
          <w:highlight w:val="white"/>
          <w:rtl w:val="0"/>
        </w:rPr>
        <w:t xml:space="preserve">phenotype </w:t>
      </w:r>
      <w:r w:rsidDel="00000000" w:rsidR="00000000" w:rsidRPr="00000000">
        <w:rPr>
          <w:sz w:val="26"/>
          <w:szCs w:val="26"/>
          <w:highlight w:val="white"/>
          <w:rtl w:val="0"/>
        </w:rPr>
        <w:t xml:space="preserve">voltage. Without the current and voltage laws of Kirchhoff we can not do circuit analysis in the frequency domain. </w:t>
      </w:r>
      <w:r w:rsidDel="00000000" w:rsidR="00000000" w:rsidRPr="00000000">
        <w:rPr>
          <w:sz w:val="26"/>
          <w:szCs w:val="26"/>
          <w:rtl w:val="0"/>
        </w:rPr>
        <w:t xml:space="preserve"> Therefore, we need to express them in the frequency domain.</w:t>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sz w:val="26"/>
          <w:szCs w:val="26"/>
          <w:rtl w:val="0"/>
        </w:rPr>
        <w:t xml:space="preserve">We will verify that Kirchhoff 's present law works for phasors by following a similar method. Once we demonstrate that the frequency domain holds both KVL and KCL, several things can be easily achieved, including impedance mixture, mesh and nodal analysis, overlaying and source transformation. This means that the sum of the individual entries is the equal admission of a concurrent admission relation. The transformations we have used on the delta to delta and wye to delta are also true for impedances.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Answers to problems with explanation</w:t>
      </w:r>
    </w:p>
    <w:p w:rsidR="00000000" w:rsidDel="00000000" w:rsidP="00000000" w:rsidRDefault="00000000" w:rsidRPr="00000000" w14:paraId="00000013">
      <w:pPr>
        <w:rPr>
          <w:b w:val="1"/>
        </w:rPr>
      </w:pPr>
      <w:r w:rsidDel="00000000" w:rsidR="00000000" w:rsidRPr="00000000">
        <w:rPr/>
        <w:drawing>
          <wp:inline distB="114300" distT="114300" distL="114300" distR="114300">
            <wp:extent cx="5195888" cy="215265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195888"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47752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775200"/>
                    </a:xfrm>
                    <a:prstGeom prst="rect"/>
                    <a:ln/>
                  </pic:spPr>
                </pic:pic>
              </a:graphicData>
            </a:graphic>
          </wp:inline>
        </w:drawing>
      </w:r>
      <w:r w:rsidDel="00000000" w:rsidR="00000000" w:rsidRPr="00000000">
        <w:rPr/>
        <w:drawing>
          <wp:inline distB="114300" distT="114300" distL="114300" distR="114300">
            <wp:extent cx="5943600" cy="5562600"/>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