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17.B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22.A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24.D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33.A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39.D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45.A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47.A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48.A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53.B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60.A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68.A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74.A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101.False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