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2.B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11.D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13.C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14.D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17.B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19.A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29.B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30.A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33.D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35.D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38.D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41.B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45.C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47.C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48.B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51.C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57.B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69.B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70.A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71.C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75.B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Thank you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Student ID : 201923250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Name : Kobilov Ilkhomjon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