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1c3a5e"/>
          <w:sz w:val="60"/>
          <w:szCs w:val="60"/>
        </w:rPr>
        <w:t xml:space="preserve">FamilyBalance</w:t>
      </w:r>
    </w:p>
    <w:p>
      <w:pPr>
        <w:spacing w:after="700"/>
        <w:jc w:val="center"/>
      </w:pPr>
      <w:r>
        <w:rPr>
          <w:i/>
          <w:iCs/>
          <w:color w:val="5a5348"/>
          <w:sz w:val="24"/>
          <w:szCs w:val="24"/>
        </w:rPr>
        <w:t xml:space="preserve">Grandir ensemble, équilibre au quotidien</w:t>
      </w:r>
    </w:p>
    <w:p>
      <w:pPr>
        <w:spacing w:after="200"/>
        <w:jc w:val="center"/>
      </w:pPr>
      <w:r>
        <w:rPr>
          <w:b/>
          <w:bCs/>
          <w:color w:val="0d7a6f"/>
          <w:sz w:val="34"/>
          <w:szCs w:val="34"/>
        </w:rPr>
        <w:t xml:space="preserve">Rapport fonctionnel détaillé</w:t>
      </w:r>
    </w:p>
    <w:p>
      <w:pPr>
        <w:spacing w:after="900"/>
        <w:jc w:val="center"/>
      </w:pPr>
      <w:r>
        <w:rPr>
          <w:color w:val="5a5348"/>
          <w:sz w:val="22"/>
          <w:szCs w:val="22"/>
        </w:rPr>
        <w:t xml:space="preserve">Description complète du fonctionnement de l'application : modules, parcours utilisateurs, règles métier et mécanismes de sécurité</w:t>
      </w:r>
    </w:p>
    <w:p>
      <w:pPr>
        <w:spacing w:after="60"/>
        <w:jc w:val="center"/>
      </w:pPr>
      <w:r>
        <w:rPr>
          <w:sz w:val="20"/>
          <w:szCs w:val="20"/>
        </w:rPr>
        <w:t xml:space="preserve">Version du document : 1.0</w:t>
      </w:r>
    </w:p>
    <w:p>
      <w:pPr>
        <w:jc w:val="center"/>
      </w:pPr>
      <w:r>
        <w:rPr>
          <w:color w:val="5a5348"/>
          <w:sz w:val="20"/>
          <w:szCs w:val="20"/>
        </w:rPr>
        <w:t xml:space="preserve">Août 2026</w:t>
      </w:r>
    </w:p>
    <w:p>
      <w:pPr>
        <w:sectPr>
          <w:pgSz w:w="11906" w:h="16838" w:orient="portrait"/>
          <w:pgMar w:top="1000" w:right="1200" w:bottom="1000" w:left="1200" w:header="708" w:footer="708" w:gutter="0"/>
          <w:pgNumType/>
          <w:docGrid w:linePitch="360"/>
        </w:sectPr>
      </w:pPr>
    </w:p>
    <w:p>
      <w:pPr>
        <w:pStyle w:val="Heading1"/>
        <w:pageBreakBefore/>
        <w:spacing w:after="200" w:before="400"/>
      </w:pPr>
      <w:r>
        <w:rPr>
          <w:color w:val="1c3a5e"/>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1. Vue d'ensemble de l'application</w:t>
      </w:r>
    </w:p>
    <w:p>
      <w:pPr>
        <w:spacing w:after="160" w:line="276"/>
        <w:jc w:val="both"/>
      </w:pPr>
      <w:r>
        <w:t xml:space="preserve">FamilyBalance est une plateforme web d'accompagnement familial à l'équilibre numérique. Plutôt que de reposer sur un agent de surveillance installé sur les appareils des enfants, l'application s'appuie sur des questionnaires d'auto-évaluation périodiques, un moteur de scoring comportemental, et un accompagnement combinant ressources éducatives, outils parentaux et téléconsultation avec des spécialistes.</w:t>
      </w:r>
    </w:p>
    <w:p>
      <w:pPr>
        <w:spacing w:after="160" w:line="276"/>
        <w:jc w:val="both"/>
      </w:pPr>
      <w:r>
        <w:t xml:space="preserve">L'application distingue quatre types de comptes, chacun avec un périmètre fonctionnel et des droits d'accès strictement délimités et vérifiés côté serveur à chaque requête :</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tblGrid>
      <w:tr>
        <w:tc>
          <w:tcPr>
            <w:tcW w:type="pct" w:w="22%"/>
            <w:shd w:fill="1c3a5e" w:val="clear"/>
            <w:tcMar>
              <w:top w:type="dxa" w:w="80"/>
              <w:left w:type="dxa" w:w="120"/>
              <w:bottom w:type="dxa" w:w="80"/>
              <w:right w:type="dxa" w:w="120"/>
            </w:tcMar>
          </w:tcPr>
          <w:p>
            <w:r>
              <w:rPr>
                <w:b/>
                <w:bCs/>
                <w:color w:val="FFFFFF"/>
                <w:sz w:val="20"/>
                <w:szCs w:val="20"/>
              </w:rPr>
              <w:t xml:space="preserve">Rôle</w:t>
            </w:r>
          </w:p>
        </w:tc>
        <w:tc>
          <w:tcPr>
            <w:tcW w:type="pct" w:w="78%"/>
            <w:shd w:fill="1c3a5e" w:val="clear"/>
            <w:tcMar>
              <w:top w:type="dxa" w:w="80"/>
              <w:left w:type="dxa" w:w="120"/>
              <w:bottom w:type="dxa" w:w="80"/>
              <w:right w:type="dxa" w:w="120"/>
            </w:tcMar>
          </w:tcPr>
          <w:p>
            <w:r>
              <w:rPr>
                <w:b/>
                <w:bCs/>
                <w:color w:val="FFFFFF"/>
                <w:sz w:val="20"/>
                <w:szCs w:val="20"/>
              </w:rPr>
              <w:t xml:space="preserve">Description</w:t>
            </w:r>
          </w:p>
        </w:tc>
      </w:tr>
      <w:tr>
        <w:tc>
          <w:tcPr>
            <w:tcW w:type="pct" w:w="22%"/>
            <w:tcMar>
              <w:top w:type="dxa" w:w="80"/>
              <w:left w:type="dxa" w:w="120"/>
              <w:bottom w:type="dxa" w:w="80"/>
              <w:right w:type="dxa" w:w="120"/>
            </w:tcMar>
          </w:tcPr>
          <w:p>
            <w:r>
              <w:rPr>
                <w:b w:val="false"/>
                <w:bCs w:val="false"/>
                <w:color w:val="2b2620"/>
                <w:sz w:val="20"/>
                <w:szCs w:val="20"/>
              </w:rPr>
              <w:t xml:space="preserve">Parent</w:t>
            </w:r>
          </w:p>
        </w:tc>
        <w:tc>
          <w:tcPr>
            <w:tcW w:type="pct" w:w="78%"/>
            <w:tcMar>
              <w:top w:type="dxa" w:w="80"/>
              <w:left w:type="dxa" w:w="120"/>
              <w:bottom w:type="dxa" w:w="80"/>
              <w:right w:type="dxa" w:w="120"/>
            </w:tcMar>
          </w:tcPr>
          <w:p>
            <w:r>
              <w:rPr>
                <w:b w:val="false"/>
                <w:bCs w:val="false"/>
                <w:color w:val="2b2620"/>
                <w:sz w:val="20"/>
                <w:szCs w:val="20"/>
              </w:rPr>
              <w:t xml:space="preserve">Supervise un ou plusieurs profils adolescents, consulte le tableau de bord familial, gère la boîte à outils parentale, réserve des téléconsultations.</w:t>
            </w:r>
          </w:p>
        </w:tc>
      </w:tr>
      <w:tr>
        <w:tc>
          <w:tcPr>
            <w:tcW w:type="pct" w:w="22%"/>
            <w:tcMar>
              <w:top w:type="dxa" w:w="80"/>
              <w:left w:type="dxa" w:w="120"/>
              <w:bottom w:type="dxa" w:w="80"/>
              <w:right w:type="dxa" w:w="120"/>
            </w:tcMar>
          </w:tcPr>
          <w:p>
            <w:r>
              <w:rPr>
                <w:b w:val="false"/>
                <w:bCs w:val="false"/>
                <w:color w:val="2b2620"/>
                <w:sz w:val="20"/>
                <w:szCs w:val="20"/>
              </w:rPr>
              <w:t xml:space="preserve">Adolescent</w:t>
            </w:r>
          </w:p>
        </w:tc>
        <w:tc>
          <w:tcPr>
            <w:tcW w:type="pct" w:w="78%"/>
            <w:tcMar>
              <w:top w:type="dxa" w:w="80"/>
              <w:left w:type="dxa" w:w="120"/>
              <w:bottom w:type="dxa" w:w="80"/>
              <w:right w:type="dxa" w:w="120"/>
            </w:tcMar>
          </w:tcPr>
          <w:p>
            <w:r>
              <w:rPr>
                <w:b w:val="false"/>
                <w:bCs w:val="false"/>
                <w:color w:val="2b2620"/>
                <w:sz w:val="20"/>
                <w:szCs w:val="20"/>
              </w:rPr>
              <w:t xml:space="preserve">Réalise son propre questionnaire d'auto-évaluation, consulte ses résultats et ressources adaptées à son âge, réserve des téléconsultations.</w:t>
            </w:r>
          </w:p>
        </w:tc>
      </w:tr>
      <w:tr>
        <w:tc>
          <w:tcPr>
            <w:tcW w:type="pct" w:w="22%"/>
            <w:tcMar>
              <w:top w:type="dxa" w:w="80"/>
              <w:left w:type="dxa" w:w="120"/>
              <w:bottom w:type="dxa" w:w="80"/>
              <w:right w:type="dxa" w:w="120"/>
            </w:tcMar>
          </w:tcPr>
          <w:p>
            <w:r>
              <w:rPr>
                <w:b w:val="false"/>
                <w:bCs w:val="false"/>
                <w:color w:val="2b2620"/>
                <w:sz w:val="20"/>
                <w:szCs w:val="20"/>
              </w:rPr>
              <w:t xml:space="preserve">Spécialiste</w:t>
            </w:r>
          </w:p>
        </w:tc>
        <w:tc>
          <w:tcPr>
            <w:tcW w:type="pct" w:w="78%"/>
            <w:tcMar>
              <w:top w:type="dxa" w:w="80"/>
              <w:left w:type="dxa" w:w="120"/>
              <w:bottom w:type="dxa" w:w="80"/>
              <w:right w:type="dxa" w:w="120"/>
            </w:tcMar>
          </w:tcPr>
          <w:p>
            <w:r>
              <w:rPr>
                <w:b w:val="false"/>
                <w:bCs w:val="false"/>
                <w:color w:val="2b2620"/>
                <w:sz w:val="20"/>
                <w:szCs w:val="20"/>
              </w:rPr>
              <w:t xml:space="preserve">Professionnel de santé consultant son tableau de bord clinique (patients suivis, scores, alertes) et assurant les téléconsultations.</w:t>
            </w:r>
          </w:p>
        </w:tc>
      </w:tr>
      <w:tr>
        <w:tc>
          <w:tcPr>
            <w:tcW w:type="pct" w:w="22%"/>
            <w:tcMar>
              <w:top w:type="dxa" w:w="80"/>
              <w:left w:type="dxa" w:w="120"/>
              <w:bottom w:type="dxa" w:w="80"/>
              <w:right w:type="dxa" w:w="120"/>
            </w:tcMar>
          </w:tcPr>
          <w:p>
            <w:r>
              <w:rPr>
                <w:b w:val="false"/>
                <w:bCs w:val="false"/>
                <w:color w:val="2b2620"/>
                <w:sz w:val="20"/>
                <w:szCs w:val="20"/>
              </w:rPr>
              <w:t xml:space="preserve">Administrateur</w:t>
            </w:r>
          </w:p>
        </w:tc>
        <w:tc>
          <w:tcPr>
            <w:tcW w:type="pct" w:w="78%"/>
            <w:tcMar>
              <w:top w:type="dxa" w:w="80"/>
              <w:left w:type="dxa" w:w="120"/>
              <w:bottom w:type="dxa" w:w="80"/>
              <w:right w:type="dxa" w:w="120"/>
            </w:tcMar>
          </w:tcPr>
          <w:p>
            <w:r>
              <w:rPr>
                <w:b w:val="false"/>
                <w:bCs w:val="false"/>
                <w:color w:val="2b2620"/>
                <w:sz w:val="20"/>
                <w:szCs w:val="20"/>
              </w:rPr>
              <w:t xml:space="preserve">Gère l'ensemble des comptes utilisateurs de la plateforme.</w:t>
            </w:r>
          </w:p>
        </w:tc>
      </w:tr>
    </w:tbl>
    <w:p>
      <w:pPr>
        <w:spacing w:after="160" w:line="276"/>
        <w:jc w:val="both"/>
      </w:pPr>
      <w:r>
        <w:t xml:space="preserve">L'application est structurée en six modules fonctionnels, détaillés dans les sections suivantes : Authentification &amp; Sécurité, Suivi &amp; Évaluation, Dashboard Famille, Espace Éducatif, Téléconsultation et Administration.</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2. Module Authentification &amp; Sécurité</w:t>
      </w:r>
    </w:p>
    <w:p>
      <w:pPr>
        <w:spacing w:after="160" w:line="276"/>
        <w:jc w:val="both"/>
      </w:pPr>
      <w:r>
        <w:t xml:space="preserve">Ce module gère l'ensemble du cycle de vie du compte utilisateur : création, activation, connexion, et protection contre les accès non autorisés.</w:t>
      </w:r>
    </w:p>
    <w:p>
      <w:pPr>
        <w:pStyle w:val="Heading2"/>
        <w:spacing w:after="150" w:before="300"/>
      </w:pPr>
      <w:r>
        <w:rPr>
          <w:color w:val="0d7a6f"/>
        </w:rPr>
        <w:t xml:space="preserve">2.1 Inscription et activation du compte</w:t>
      </w:r>
    </w:p>
    <w:p>
      <w:pPr>
        <w:spacing w:after="160" w:line="276"/>
        <w:jc w:val="both"/>
      </w:pPr>
      <w:r>
        <w:t xml:space="preserve">Un nouvel utilisateur s'inscrit en choisissant son rôle (Parent, Spécialiste ou Administrateur — le rôle Adolescent n'est jamais créé par auto-inscription libre, voir section 4). Selon le rôle choisi, des champs additionnels sont demandés : spécialisation et numéro de licence pour un Spécialiste, clé d'inscription secrète pour un Administrateur (empêchant la création non autorisée de comptes à privilèges élevés).</w:t>
      </w:r>
    </w:p>
    <w:p>
      <w:pPr>
        <w:spacing w:after="160" w:line="276"/>
        <w:jc w:val="both"/>
      </w:pPr>
      <w:r>
        <w:t xml:space="preserve">Après inscription, un e-mail de confirmation contenant un lien à usage unique est envoyé à l'adresse fournie. Le compte reste inactif tant que ce lien n'a pas été utilisé. Cette étape de vérification d'e-mail s'applique aux rôles Parent, Adolescent et Spécialiste ; le rôle Administrateur en est dispensé (son accès étant déjà filtré par la clé d'inscription secrète).</w:t>
      </w:r>
    </w:p>
    <w:p>
      <w:pPr>
        <w:pStyle w:val="Heading2"/>
        <w:spacing w:after="150" w:before="300"/>
      </w:pPr>
      <w:r>
        <w:rPr>
          <w:color w:val="0d7a6f"/>
        </w:rPr>
        <w:t xml:space="preserve">2.2 Authentification à double facteur (MFA)</w:t>
      </w:r>
    </w:p>
    <w:p>
      <w:pPr>
        <w:spacing w:after="160" w:line="276"/>
        <w:jc w:val="both"/>
      </w:pPr>
      <w:r>
        <w:t xml:space="preserve">Une fois l'e-mail confirmé (ou immédiatement après le mot de passe pour une connexion ultérieure), l'application vérifie si le compte a la double authentification activée. Depuis la dernière mise à jour, ce mécanisme s'applique à l'intégralité des quatre rôles, sans exception : un code numérique à usage unique, valable 10 minutes, est généré côté serveur et envoyé exclusivement par e-mail à l'adresse associée au compte. Ce code n'est jamais affiché ni transmis par un autre canal que l'e-mail : ni dans la réponse de l'API, ni dans l'interface, ni dans les journaux serveur. L'utilisateur doit le récupérer dans sa boîte de réception et le saisir dans l'écran de vérification pour finaliser sa connexion.</w:t>
      </w:r>
    </w:p>
    <w:p>
      <w:pPr>
        <w:spacing w:after="160" w:line="276"/>
        <w:jc w:val="both"/>
      </w:pPr>
      <w:r>
        <w:t xml:space="preserve">Le code est stocké en base de données uniquement sous forme de hachage cryptographique (jamais en clair), avec un compteur de tentatives limité à cinq essais avant expiration forcée du défi. Toute tentative de connexion sans validation du code MFA n'aboutit à l'émission d'aucun jeton de session.</w:t>
      </w:r>
    </w:p>
    <w:p>
      <w:pPr>
        <w:pStyle w:val="Heading2"/>
        <w:spacing w:after="150" w:before="300"/>
      </w:pPr>
      <w:r>
        <w:rPr>
          <w:color w:val="0d7a6f"/>
        </w:rPr>
        <w:t xml:space="preserve">2.3 Gestion de la session (jetons JWT)</w:t>
      </w:r>
    </w:p>
    <w:p>
      <w:pPr>
        <w:spacing w:after="160" w:line="276"/>
        <w:jc w:val="both"/>
      </w:pPr>
      <w:r>
        <w:t xml:space="preserve">Une session authentifiée repose sur deux jetons distincts :</w:t>
      </w:r>
    </w:p>
    <w:p>
      <w:pPr>
        <w:pStyle w:val="ListParagraph"/>
        <w:numPr>
          <w:ilvl w:val="0"/>
          <w:numId w:val="1"/>
        </w:numPr>
        <w:spacing w:after="90"/>
      </w:pPr>
      <w:r>
        <w:t xml:space="preserve">Un jeton d'accès, valable 15 minutes, transmis dans l'en-tête HTTP de chaque requête vers l'API — c'est lui qui prouve l'identité de l'utilisateur pour chaque action.</w:t>
      </w:r>
    </w:p>
    <w:p>
      <w:pPr>
        <w:pStyle w:val="ListParagraph"/>
        <w:numPr>
          <w:ilvl w:val="0"/>
          <w:numId w:val="1"/>
        </w:numPr>
        <w:spacing w:after="90"/>
      </w:pPr>
      <w:r>
        <w:t xml:space="preserve">Un jeton de rafraîchissement, valable 7 jours, stocké dans un cookie httpOnly totalement inaccessible au JavaScript du navigateur — il sert uniquement à obtenir un nouveau jeton d'accès sans redemander le mot de passe.</w:t>
      </w:r>
    </w:p>
    <w:p>
      <w:pPr>
        <w:spacing w:after="160" w:line="276"/>
        <w:jc w:val="both"/>
      </w:pPr>
      <w:r>
        <w:t xml:space="preserve">À chaque rafraîchissement, un nouveau jeton est émis et l'ancien est immédiatement révoqué (rotation des jetons), limitant la fenêtre d'exploitation en cas de vol. La déconnexion invalide explicitement la session côté serveur plutôt que de se contenter d'une suppression côté client, empêchant la réutilisation d'un jeton de rafraîchissement après déconnexion.</w:t>
      </w:r>
    </w:p>
    <w:p>
      <w:pPr>
        <w:pStyle w:val="Heading2"/>
        <w:spacing w:after="150" w:before="300"/>
      </w:pPr>
      <w:r>
        <w:rPr>
          <w:color w:val="0d7a6f"/>
        </w:rPr>
        <w:t xml:space="preserve">2.4 Réinitialisation du mot de passe et gestion du profil</w:t>
      </w:r>
    </w:p>
    <w:p>
      <w:pPr>
        <w:spacing w:after="160" w:line="276"/>
        <w:jc w:val="both"/>
      </w:pPr>
      <w:r>
        <w:t xml:space="preserve">Un utilisateur ayant oublié son mot de passe reçoit, sur demande, un lien de réinitialisation à usage unique et à durée limitée par e-mail. Chaque utilisateur peut par ailleurs consulter et modifier les informations de son profil (nom, téléphone, informations spécifiques à son rôle) depuis un espace dédié.</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3. Module Suivi &amp; Évaluation</w:t>
      </w:r>
    </w:p>
    <w:p>
      <w:pPr>
        <w:spacing w:after="160" w:line="276"/>
        <w:jc w:val="both"/>
      </w:pPr>
      <w:r>
        <w:t xml:space="preserve">Ce module constitue le cœur diagnostique de l'application : il collecte les réponses à un questionnaire d'auto-évaluation et en déduit un score de risque exploitable.</w:t>
      </w:r>
    </w:p>
    <w:p>
      <w:pPr>
        <w:pStyle w:val="Heading2"/>
        <w:spacing w:after="150" w:before="300"/>
      </w:pPr>
      <w:r>
        <w:rPr>
          <w:color w:val="0d7a6f"/>
        </w:rPr>
        <w:t xml:space="preserve">3.1 Le questionnaire</w:t>
      </w:r>
    </w:p>
    <w:p>
      <w:pPr>
        <w:spacing w:after="160" w:line="276"/>
        <w:jc w:val="both"/>
      </w:pPr>
      <w:r>
        <w:t xml:space="preserve">Le catalogue de questions est adapté à la tranche d'âge de la personne évaluée (de 3 à 18 ans), un parent pouvant répondre pour le compte d'un adolescent rattaché ou un adolescent pouvant s'auto-évaluer directement. La session de réponses est persistée au fil de la progression, permettant une reprise ultérieure sans perte de données si l'utilisateur quitte le questionnaire avant de le terminer.</w:t>
      </w:r>
    </w:p>
    <w:p>
      <w:pPr>
        <w:pStyle w:val="Heading2"/>
        <w:spacing w:after="150" w:before="300"/>
      </w:pPr>
      <w:r>
        <w:rPr>
          <w:color w:val="0d7a6f"/>
        </w:rPr>
        <w:t xml:space="preserve">3.2 Le moteur de scoring</w:t>
      </w:r>
    </w:p>
    <w:p>
      <w:pPr>
        <w:spacing w:after="160" w:line="276"/>
        <w:jc w:val="both"/>
      </w:pPr>
      <w:r>
        <w:t xml:space="preserve">À la complétion du questionnaire, un score global est calculé automatiquement, décomposé en quatre sous-scores : comportemental, émotionnel, social et parental. Les pondérations appliquées à chaque dimension varient dynamiquement selon la tranche d'âge, refléchissant le fait que les enjeux ne sont pas les mêmes pour un enfant de 5 ans et un adolescent de 16 ans.</w:t>
      </w:r>
    </w:p>
    <w:p>
      <w:pPr>
        <w:spacing w:after="160" w:line="276"/>
        <w:jc w:val="both"/>
      </w:pPr>
      <w:r>
        <w:t xml:space="preserve">Le résultat est classé selon deux échelles complémentaires :</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gridCol w:w="100"/>
      </w:tblGrid>
      <w:tr>
        <w:tc>
          <w:tcPr>
            <w:tcW w:type="pct" w:w="25%"/>
            <w:shd w:fill="1c3a5e" w:val="clear"/>
            <w:tcMar>
              <w:top w:type="dxa" w:w="80"/>
              <w:left w:type="dxa" w:w="120"/>
              <w:bottom w:type="dxa" w:w="80"/>
              <w:right w:type="dxa" w:w="120"/>
            </w:tcMar>
          </w:tcPr>
          <w:p>
            <w:r>
              <w:rPr>
                <w:b/>
                <w:bCs/>
                <w:color w:val="FFFFFF"/>
                <w:sz w:val="20"/>
                <w:szCs w:val="20"/>
              </w:rPr>
              <w:t xml:space="preserve">Échelle</w:t>
            </w:r>
          </w:p>
        </w:tc>
        <w:tc>
          <w:tcPr>
            <w:tcW w:type="pct" w:w="35%"/>
            <w:shd w:fill="1c3a5e" w:val="clear"/>
            <w:tcMar>
              <w:top w:type="dxa" w:w="80"/>
              <w:left w:type="dxa" w:w="120"/>
              <w:bottom w:type="dxa" w:w="80"/>
              <w:right w:type="dxa" w:w="120"/>
            </w:tcMar>
          </w:tcPr>
          <w:p>
            <w:r>
              <w:rPr>
                <w:b/>
                <w:bCs/>
                <w:color w:val="FFFFFF"/>
                <w:sz w:val="20"/>
                <w:szCs w:val="20"/>
              </w:rPr>
              <w:t xml:space="preserve">Valeurs possibles</w:t>
            </w:r>
          </w:p>
        </w:tc>
        <w:tc>
          <w:tcPr>
            <w:tcW w:type="pct" w:w="40%"/>
            <w:shd w:fill="1c3a5e" w:val="clear"/>
            <w:tcMar>
              <w:top w:type="dxa" w:w="80"/>
              <w:left w:type="dxa" w:w="120"/>
              <w:bottom w:type="dxa" w:w="80"/>
              <w:right w:type="dxa" w:w="120"/>
            </w:tcMar>
          </w:tcPr>
          <w:p>
            <w:r>
              <w:rPr>
                <w:b/>
                <w:bCs/>
                <w:color w:val="FFFFFF"/>
                <w:sz w:val="20"/>
                <w:szCs w:val="20"/>
              </w:rPr>
              <w:t xml:space="preserve">Usage</w:t>
            </w:r>
          </w:p>
        </w:tc>
      </w:tr>
      <w:tr>
        <w:tc>
          <w:tcPr>
            <w:tcW w:type="pct" w:w="25%"/>
            <w:tcMar>
              <w:top w:type="dxa" w:w="80"/>
              <w:left w:type="dxa" w:w="120"/>
              <w:bottom w:type="dxa" w:w="80"/>
              <w:right w:type="dxa" w:w="120"/>
            </w:tcMar>
          </w:tcPr>
          <w:p>
            <w:r>
              <w:rPr>
                <w:b w:val="false"/>
                <w:bCs w:val="false"/>
                <w:color w:val="2b2620"/>
                <w:sz w:val="20"/>
                <w:szCs w:val="20"/>
              </w:rPr>
              <w:t xml:space="preserve">Niveau de risque</w:t>
            </w:r>
          </w:p>
        </w:tc>
        <w:tc>
          <w:tcPr>
            <w:tcW w:type="pct" w:w="35%"/>
            <w:tcMar>
              <w:top w:type="dxa" w:w="80"/>
              <w:left w:type="dxa" w:w="120"/>
              <w:bottom w:type="dxa" w:w="80"/>
              <w:right w:type="dxa" w:w="120"/>
            </w:tcMar>
          </w:tcPr>
          <w:p>
            <w:r>
              <w:rPr>
                <w:b w:val="false"/>
                <w:bCs w:val="false"/>
                <w:color w:val="2b2620"/>
                <w:sz w:val="20"/>
                <w:szCs w:val="20"/>
              </w:rPr>
              <w:t xml:space="preserve">Vert · Orange · Rouge</w:t>
            </w:r>
          </w:p>
        </w:tc>
        <w:tc>
          <w:tcPr>
            <w:tcW w:type="pct" w:w="40%"/>
            <w:tcMar>
              <w:top w:type="dxa" w:w="80"/>
              <w:left w:type="dxa" w:w="120"/>
              <w:bottom w:type="dxa" w:w="80"/>
              <w:right w:type="dxa" w:w="120"/>
            </w:tcMar>
          </w:tcPr>
          <w:p>
            <w:r>
              <w:rPr>
                <w:b w:val="false"/>
                <w:bCs w:val="false"/>
                <w:color w:val="2b2620"/>
                <w:sz w:val="20"/>
                <w:szCs w:val="20"/>
              </w:rPr>
              <w:t xml:space="preserve">Indicateur visuel rapide, utilisé notamment dans les badges et barres de progression de l'interface.</w:t>
            </w:r>
          </w:p>
        </w:tc>
      </w:tr>
      <w:tr>
        <w:tc>
          <w:tcPr>
            <w:tcW w:type="pct" w:w="25%"/>
            <w:tcMar>
              <w:top w:type="dxa" w:w="80"/>
              <w:left w:type="dxa" w:w="120"/>
              <w:bottom w:type="dxa" w:w="80"/>
              <w:right w:type="dxa" w:w="120"/>
            </w:tcMar>
          </w:tcPr>
          <w:p>
            <w:r>
              <w:rPr>
                <w:b w:val="false"/>
                <w:bCs w:val="false"/>
                <w:color w:val="2b2620"/>
                <w:sz w:val="20"/>
                <w:szCs w:val="20"/>
              </w:rPr>
              <w:t xml:space="preserve">Catégorie de risque</w:t>
            </w:r>
          </w:p>
        </w:tc>
        <w:tc>
          <w:tcPr>
            <w:tcW w:type="pct" w:w="35%"/>
            <w:tcMar>
              <w:top w:type="dxa" w:w="80"/>
              <w:left w:type="dxa" w:w="120"/>
              <w:bottom w:type="dxa" w:w="80"/>
              <w:right w:type="dxa" w:w="120"/>
            </w:tcMar>
          </w:tcPr>
          <w:p>
            <w:r>
              <w:rPr>
                <w:b w:val="false"/>
                <w:bCs w:val="false"/>
                <w:color w:val="2b2620"/>
                <w:sz w:val="20"/>
                <w:szCs w:val="20"/>
              </w:rPr>
              <w:t xml:space="preserve">Équilibre sain · Vigilance légère · Risque modéré · Risque élevé</w:t>
            </w:r>
          </w:p>
        </w:tc>
        <w:tc>
          <w:tcPr>
            <w:tcW w:type="pct" w:w="40%"/>
            <w:tcMar>
              <w:top w:type="dxa" w:w="80"/>
              <w:left w:type="dxa" w:w="120"/>
              <w:bottom w:type="dxa" w:w="80"/>
              <w:right w:type="dxa" w:w="120"/>
            </w:tcMar>
          </w:tcPr>
          <w:p>
            <w:r>
              <w:rPr>
                <w:b w:val="false"/>
                <w:bCs w:val="false"/>
                <w:color w:val="2b2620"/>
                <w:sz w:val="20"/>
                <w:szCs w:val="20"/>
              </w:rPr>
              <w:t xml:space="preserve">Classification plus fine, utilisée pour le libellé affiché à l'utilisateur et pour déclencher les alertes automatiques.</w:t>
            </w:r>
          </w:p>
        </w:tc>
      </w:tr>
    </w:tbl>
    <w:p>
      <w:pPr>
        <w:spacing w:after="160" w:line="276"/>
        <w:jc w:val="both"/>
      </w:pPr>
      <w:r>
        <w:t xml:space="preserve">Lorsque le score franchit un seuil de risque significatif, une alerte automatique est créée et reste visible dans le centre de notifications du tableau de bord familial jusqu'à sa résolution.</w:t>
      </w:r>
    </w:p>
    <w:p>
      <w:pPr>
        <w:pStyle w:val="Heading2"/>
        <w:spacing w:after="150" w:before="300"/>
      </w:pPr>
      <w:r>
        <w:rPr>
          <w:color w:val="0d7a6f"/>
        </w:rPr>
        <w:t xml:space="preserve">3.3 Recommandations personnalisées et « conseil du coach »</w:t>
      </w:r>
    </w:p>
    <w:p>
      <w:pPr>
        <w:spacing w:after="160" w:line="276"/>
        <w:jc w:val="both"/>
      </w:pPr>
      <w:r>
        <w:t xml:space="preserve">Le moteur génère automatiquement une liste de recommandations textuelles, priorisées à partir des sous-scores les plus faibles de l'évaluation. Ces recommandations sont mises en avant sur le tableau de bord (parent et adolescent) sous la forme d'un bandeau « Conseil de votre coach FamilyBalance », consultable en un coup d'œil sans avoir à ouvrir le détail du score.</w:t>
      </w:r>
    </w:p>
    <w:p>
      <w:pPr>
        <w:pStyle w:val="Heading2"/>
        <w:spacing w:after="150" w:before="300"/>
      </w:pPr>
      <w:r>
        <w:rPr>
          <w:color w:val="0d7a6f"/>
        </w:rPr>
        <w:t xml:space="preserve">3.4 Rappel de réévaluation</w:t>
      </w:r>
    </w:p>
    <w:p>
      <w:pPr>
        <w:spacing w:after="160" w:line="276"/>
        <w:jc w:val="both"/>
      </w:pPr>
      <w:r>
        <w:t xml:space="preserve">Un rappel de réévaluation est calculé automatiquement à échéance de trois mois après le dernier score enregistré, et signalé de façon visible sur le tableau de bord familial dès qu'il devient dû.</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4. Module Dashboard Famille</w:t>
      </w:r>
    </w:p>
    <w:p>
      <w:pPr>
        <w:spacing w:after="160" w:line="276"/>
        <w:jc w:val="both"/>
      </w:pPr>
      <w:r>
        <w:t xml:space="preserve">Ce module est le point d'entrée principal d'un compte Parent : il agrège, pour chaque enfant rattaché, l'ensemble des informations de suivi en un seul écran.</w:t>
      </w:r>
    </w:p>
    <w:p>
      <w:pPr>
        <w:pStyle w:val="Heading2"/>
        <w:spacing w:after="150" w:before="300"/>
      </w:pPr>
      <w:r>
        <w:rPr>
          <w:color w:val="0d7a6f"/>
        </w:rPr>
        <w:t xml:space="preserve">4.1 Rattachement d'un profil adolescent</w:t>
      </w:r>
    </w:p>
    <w:p>
      <w:pPr>
        <w:spacing w:after="160" w:line="276"/>
        <w:jc w:val="both"/>
      </w:pPr>
      <w:r>
        <w:t xml:space="preserve">Un parent crée le profil de son enfant directement depuis l'application, en renseignant son identité, sa date de naissance (utilisée pour déterminer sa tranche d'âge) et en donnant un consentement explicite, obligatoire avant toute création. Le compte adolescent ainsi créé est automatiquement lié au parent créateur au niveau de la base de données — ce lien ne peut jamais être falsifié depuis le frontend : il est systématiquement dérivé de l'identité du parent authentifié, jamais d'une valeur transmise par le client.</w:t>
      </w:r>
    </w:p>
    <w:p>
      <w:pPr>
        <w:pStyle w:val="Heading2"/>
        <w:spacing w:after="150" w:before="300"/>
      </w:pPr>
      <w:r>
        <w:rPr>
          <w:color w:val="0d7a6f"/>
        </w:rPr>
        <w:t xml:space="preserve">4.2 Vue consolidée multi-enfants</w:t>
      </w:r>
    </w:p>
    <w:p>
      <w:pPr>
        <w:spacing w:after="160" w:line="276"/>
        <w:jc w:val="both"/>
      </w:pPr>
      <w:r>
        <w:t xml:space="preserve">Le tableau de bord présente la liste des enfants rattachés, avec pour chacun un badge de couleur reflétant son dernier score, l'historique complet de ses évaluations sous forme de graphique d'évolution (filtrable sur 30 jours, 3 mois, 12 mois ou l'intégralité de l'historique), ses alertes ouvertes, et un accès direct à l'export PDF de son rapport de score.</w:t>
      </w:r>
    </w:p>
    <w:p>
      <w:pPr>
        <w:spacing w:after="160" w:line="276"/>
        <w:jc w:val="both"/>
      </w:pPr>
      <w:r>
        <w:t xml:space="preserve">L'isolation des données entre familles est stricte : un parent ne peut consulter, par quelque moyen que ce soit, les données d'un adolescent qui n'est pas explicitement rattaché à son propre compte — cette règle est revérifiée côté serveur sur chaque requête, indépendamment de ce que l'interface affiche ou masque.</w:t>
      </w:r>
    </w:p>
    <w:p>
      <w:pPr>
        <w:pStyle w:val="Heading2"/>
        <w:spacing w:after="150" w:before="300"/>
      </w:pPr>
      <w:r>
        <w:rPr>
          <w:color w:val="0d7a6f"/>
        </w:rPr>
        <w:t xml:space="preserve">4.3 Espace personnel de l'adolescent</w:t>
      </w:r>
    </w:p>
    <w:p>
      <w:pPr>
        <w:spacing w:after="160" w:line="276"/>
        <w:jc w:val="both"/>
      </w:pPr>
      <w:r>
        <w:t xml:space="preserve">Un adolescent dispose de son propre tableau de bord, distinct de celui du parent : il y consulte ses statistiques (nombre d'évaluations complétées, score moyen, niveau de risque actuel avec code couleur), son historique de scores récents, et le même bandeau de conseils personnalisés que celui présenté au parent.</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5. Module Espace Éducatif</w:t>
      </w:r>
    </w:p>
    <w:p>
      <w:pPr>
        <w:spacing w:after="160" w:line="276"/>
        <w:jc w:val="both"/>
      </w:pPr>
      <w:r>
        <w:t xml:space="preserve">Ce module regroupe l'ensemble des ressources et outils pédagogiques mis à disposition des familles.</w:t>
      </w:r>
    </w:p>
    <w:p>
      <w:pPr>
        <w:pStyle w:val="Heading2"/>
        <w:spacing w:after="150" w:before="300"/>
      </w:pPr>
      <w:r>
        <w:rPr>
          <w:color w:val="0d7a6f"/>
        </w:rPr>
        <w:t xml:space="preserve">5.1 Bibliothèque de ressources</w:t>
      </w:r>
    </w:p>
    <w:p>
      <w:pPr>
        <w:spacing w:after="160" w:line="276"/>
        <w:jc w:val="both"/>
      </w:pPr>
      <w:r>
        <w:t xml:space="preserve">Un catalogue d'articles, vidéos, activités et fiches pratiques est proposé, filtrable par âge, type de contenu et thématique (communication, sommeil, réseaux sociaux, cybersécurité, gestion de crise numérique, etc.). Ce catalogue est une donnée de référence commune à tous les utilisateurs, non rattachée à un profil individuel.</w:t>
      </w:r>
    </w:p>
    <w:p>
      <w:pPr>
        <w:pStyle w:val="Heading2"/>
        <w:spacing w:after="150" w:before="300"/>
      </w:pPr>
      <w:r>
        <w:rPr>
          <w:color w:val="0d7a6f"/>
        </w:rPr>
        <w:t xml:space="preserve">5.2 Parcours e-learning gamifiés</w:t>
      </w:r>
    </w:p>
    <w:p>
      <w:pPr>
        <w:spacing w:after="160" w:line="276"/>
        <w:jc w:val="both"/>
      </w:pPr>
      <w:r>
        <w:t xml:space="preserve">Des parcours structurés en étapes sont proposés, différenciés selon le rôle (parent ou adolescent) et la thématique (autonomie numérique, cyberharcèlement, gestion de crise, etc.). La progression de chaque utilisateur dans chaque parcours est suivie individuellement, avec déblocage de badges aux paliers de progression (25 %, 50 %, 100 %).</w:t>
      </w:r>
    </w:p>
    <w:p>
      <w:pPr>
        <w:pStyle w:val="Heading2"/>
        <w:spacing w:after="150" w:before="300"/>
      </w:pPr>
      <w:r>
        <w:rPr>
          <w:color w:val="0d7a6f"/>
        </w:rPr>
        <w:t xml:space="preserve">5.3 Boîte à outils parentale</w:t>
      </w:r>
    </w:p>
    <w:p>
      <w:pPr>
        <w:spacing w:after="160" w:line="276"/>
        <w:jc w:val="both"/>
      </w:pPr>
      <w:r>
        <w:t xml:space="preserve">Réservée au rôle Parent, cette section permet de créer des contrats numériques (engagements négociés avec l'enfant sur l'usage des écrans) et des plannings d'activités, avec une plage de dates optionnelle et une liste d'activités associées.</w:t>
      </w:r>
    </w:p>
    <w:p>
      <w:pPr>
        <w:pStyle w:val="Heading2"/>
        <w:spacing w:after="150" w:before="300"/>
      </w:pPr>
      <w:r>
        <w:rPr>
          <w:color w:val="0d7a6f"/>
        </w:rPr>
        <w:t xml:space="preserve">5.4 Newsletter personnalisée</w:t>
      </w:r>
    </w:p>
    <w:p>
      <w:pPr>
        <w:spacing w:after="160" w:line="276"/>
        <w:jc w:val="both"/>
      </w:pPr>
      <w:r>
        <w:t xml:space="preserve">À la demande, une synthèse personnalisée est générée : elle combine un message adapté au profil de l'utilisateur, une observation sur la tendance récente du score (progression, stabilité ou vigilance), et une sélection de ressources de la bibliothèque correspondant aux dimensions les plus fragiles du dernier score enregistré.</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6. Module Téléconsultation</w:t>
      </w:r>
    </w:p>
    <w:p>
      <w:pPr>
        <w:spacing w:after="160" w:line="276"/>
        <w:jc w:val="both"/>
      </w:pPr>
      <w:r>
        <w:t xml:space="preserve">Ce module permet la mise en relation directe entre une famille et un professionnel de santé, de la prise de rendez-vous jusqu'à la consultation elle-même.</w:t>
      </w:r>
    </w:p>
    <w:p>
      <w:pPr>
        <w:pStyle w:val="Heading2"/>
        <w:spacing w:after="150" w:before="300"/>
      </w:pPr>
      <w:r>
        <w:rPr>
          <w:color w:val="0d7a6f"/>
        </w:rPr>
        <w:t xml:space="preserve">6.1 Annuaire et disponibilités</w:t>
      </w:r>
    </w:p>
    <w:p>
      <w:pPr>
        <w:spacing w:after="160" w:line="276"/>
        <w:jc w:val="both"/>
      </w:pPr>
      <w:r>
        <w:t xml:space="preserve">Un annuaire de spécialistes est consultable, filtrable par spécialité, langue, ville et tarif maximum. Pour chaque spécialiste, les créneaux réellement disponibles sont calculés à la volée à partir de règles de disponibilité hebdomadaires récurrentes (jour, plage horaire, durée de créneau), en excluant automatiquement les créneaux déjà occupés par un rendez-vous existant.</w:t>
      </w:r>
    </w:p>
    <w:p>
      <w:pPr>
        <w:pStyle w:val="Heading2"/>
        <w:spacing w:after="150" w:before="300"/>
      </w:pPr>
      <w:r>
        <w:rPr>
          <w:color w:val="0d7a6f"/>
        </w:rPr>
        <w:t xml:space="preserve">6.2 Réservation, annulation et déplacement d'un rendez-vous</w:t>
      </w:r>
    </w:p>
    <w:p>
      <w:pPr>
        <w:spacing w:after="160" w:line="276"/>
        <w:jc w:val="both"/>
      </w:pPr>
      <w:r>
        <w:t xml:space="preserve">La réservation d'un créneau déclenche une vérification de non-chevauchement côté serveur : deux patients ne peuvent jamais réserver le même créneau chez le même spécialiste, même en cas de tentative simultanée. Un rendez-vous confirmé peut ensuite être annulé, ou déplacé vers un nouveau créneau — cette seconde opération est soumise exactement aux mêmes contrôles que la réservation initiale (créneau libre, date future), ce qui empêche de déplacer un rendez-vous vers un horaire déjà pris ou déjà passé. Un rendez-vous déjà terminé ou annulé ne peut plus être ni annulé ni déplacé.</w:t>
      </w:r>
    </w:p>
    <w:p>
      <w:pPr>
        <w:spacing w:after="160" w:line="276"/>
        <w:jc w:val="both"/>
      </w:pPr>
      <w:r>
        <w:t xml:space="preserve">Chaque rendez-vous confirmé génère automatiquement une salle de visioconférence dédiée et un message d'accueil pour la salle d'attente virtuelle.</w:t>
      </w:r>
    </w:p>
    <w:p>
      <w:pPr>
        <w:pStyle w:val="Heading2"/>
        <w:spacing w:after="150" w:before="300"/>
      </w:pPr>
      <w:r>
        <w:rPr>
          <w:color w:val="0d7a6f"/>
        </w:rPr>
        <w:t xml:space="preserve">6.3 Messagerie chiffrée et partage du bilan</w:t>
      </w:r>
    </w:p>
    <w:p>
      <w:pPr>
        <w:spacing w:after="160" w:line="276"/>
        <w:jc w:val="both"/>
      </w:pPr>
      <w:r>
        <w:t xml:space="preserve">Un échange de messages textuels est disponible pour chaque rendez-vous, distingué en messages « pré-consultation » et « post-consultation ». Chaque message est chiffré individuellement (algorithme AES-256-GCM) avant son enregistrement en base de données ; seul le contenu déchiffré à la volée est présenté aux deux parties autorisées à consulter la conversation.</w:t>
      </w:r>
    </w:p>
    <w:p>
      <w:pPr>
        <w:spacing w:after="160" w:line="276"/>
        <w:jc w:val="both"/>
      </w:pPr>
      <w:r>
        <w:t xml:space="preserve">Le patient peut, à sa seule initiative et jamais automatiquement, partager avec le spécialiste consulté un instantané de son dernier bilan FamilyBalance (score global, sous-scores, recommandations), afin d'enrichir la consultation sans exposer l'historique complet de ses données.</w:t>
      </w:r>
    </w:p>
    <w:p>
      <w:pPr>
        <w:pStyle w:val="Heading2"/>
        <w:spacing w:after="150" w:before="300"/>
      </w:pPr>
      <w:r>
        <w:rPr>
          <w:color w:val="0d7a6f"/>
        </w:rPr>
        <w:t xml:space="preserve">6.4 Tableau de bord clinique du spécialiste</w:t>
      </w:r>
    </w:p>
    <w:p>
      <w:pPr>
        <w:spacing w:after="160" w:line="276"/>
        <w:jc w:val="both"/>
      </w:pPr>
      <w:r>
        <w:t xml:space="preserve">Un spécialiste dispose d'un espace dédié listant uniquement les patients avec lesquels il a effectivement un rendez-vous, leur dernier score et leurs alertes ouvertes — aucune vue d'ensemble sur l'intégralité des familles de la plateforme ne lui est accessible, conformément au principe de moindre privilège.</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7. Module Administration</w:t>
      </w:r>
    </w:p>
    <w:p>
      <w:pPr>
        <w:spacing w:after="160" w:line="276"/>
        <w:jc w:val="both"/>
      </w:pPr>
      <w:r>
        <w:t xml:space="preserve">Ce module, réservé exclusivement au rôle Administrateur, permet la supervision et la gestion de l'ensemble des comptes de la plateforme.</w:t>
      </w:r>
    </w:p>
    <w:p>
      <w:pPr>
        <w:pStyle w:val="Heading2"/>
        <w:spacing w:after="150" w:before="300"/>
      </w:pPr>
      <w:r>
        <w:rPr>
          <w:color w:val="0d7a6f"/>
        </w:rPr>
        <w:t xml:space="preserve">7.1 Gestion des comptes</w:t>
      </w:r>
    </w:p>
    <w:p>
      <w:pPr>
        <w:spacing w:after="160" w:line="276"/>
        <w:jc w:val="both"/>
      </w:pPr>
      <w:r>
        <w:t xml:space="preserve">Un administrateur peut créer, modifier, activer, désactiver ou supprimer n'importe quel compte utilisateur, quel que soit son rôle. Plusieurs garde-fous protègent l'intégrité de la plateforme : un administrateur ne peut ni désactiver, ni supprimer, ni rétrograder son propre compte, et la suppression ou la rétrogradation du tout dernier compte administrateur restant est bloquée, empêchant toute perte accidentelle d'accès administratif à la plateforme.</w:t>
      </w:r>
    </w:p>
    <w:p>
      <w:pPr>
        <w:spacing w:after="160" w:line="276"/>
        <w:jc w:val="both"/>
      </w:pPr>
      <w:r>
        <w:t xml:space="preserve">La suppression d'un compte parent entraîne la suppression en cascade de tous les profils adolescents qui lui étaient rattachés, ainsi que de l'ensemble des données associées à chaque compte supprimé (sessions de questionnaire, scores, alertes, rendez-vous, messages, jetons de session) — évitant toute donnée orpheline en base après suppression. Une confirmation explicite est demandée avant toute suppression, avec un message dédié lorsque la suppression entraîne la suppression en cascade d'enfants rattachés.</w:t>
      </w:r>
    </w:p>
    <w:p>
      <w:pPr>
        <w:pStyle w:val="Heading2"/>
        <w:spacing w:after="150" w:before="300"/>
      </w:pPr>
      <w:r>
        <w:rPr>
          <w:color w:val="0d7a6f"/>
        </w:rPr>
        <w:t xml:space="preserve">7.2 Exports et supervision</w:t>
      </w:r>
    </w:p>
    <w:p>
      <w:pPr>
        <w:spacing w:after="160" w:line="276"/>
        <w:jc w:val="both"/>
      </w:pPr>
      <w:r>
        <w:t xml:space="preserve">L'ensemble des comptes peut être exporté aux formats Excel, Word et PDF. Une file de modération est également disponible pour la supervision du contenu généré par les utilisateurs.</w:t>
      </w:r>
    </w:p>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8. Synthèse des mécanismes de sécurité transversaux</w:t>
      </w:r>
    </w:p>
    <w:p>
      <w:pPr>
        <w:spacing w:after="160" w:line="276"/>
        <w:jc w:val="both"/>
      </w:pPr>
      <w:r>
        <w:t xml:space="preserve">Au-delà des mesures détaillées dans chaque module, plusieurs principes de sécurité s'appliquent de façon homogène à l'ensemble de l'application :</w:t>
      </w:r>
    </w:p>
    <w:tbl>
      <w:tblPr>
        <w:tblW w:type="pct" w:w="100%"/>
        <w:tblBorders>
          <w:top w:val="single" w:color="ddd0ba" w:sz="2"/>
          <w:left w:val="single" w:color="ddd0ba" w:sz="2"/>
          <w:bottom w:val="single" w:color="ddd0ba" w:sz="2"/>
          <w:right w:val="single" w:color="ddd0ba" w:sz="2"/>
          <w:insideH w:val="single" w:color="ddd0ba" w:sz="1"/>
          <w:insideV w:val="single" w:color="ddd0ba" w:sz="1"/>
        </w:tblBorders>
      </w:tblPr>
      <w:tblGrid>
        <w:gridCol w:w="100"/>
        <w:gridCol w:w="100"/>
      </w:tblGrid>
      <w:tr>
        <w:tc>
          <w:tcPr>
            <w:tcW w:type="pct" w:w="30%"/>
            <w:shd w:fill="1c3a5e" w:val="clear"/>
            <w:tcMar>
              <w:top w:type="dxa" w:w="80"/>
              <w:left w:type="dxa" w:w="120"/>
              <w:bottom w:type="dxa" w:w="80"/>
              <w:right w:type="dxa" w:w="120"/>
            </w:tcMar>
          </w:tcPr>
          <w:p>
            <w:r>
              <w:rPr>
                <w:b/>
                <w:bCs/>
                <w:color w:val="FFFFFF"/>
                <w:sz w:val="20"/>
                <w:szCs w:val="20"/>
              </w:rPr>
              <w:t xml:space="preserve">Mécanisme</w:t>
            </w:r>
          </w:p>
        </w:tc>
        <w:tc>
          <w:tcPr>
            <w:tcW w:type="pct" w:w="70%"/>
            <w:shd w:fill="1c3a5e" w:val="clear"/>
            <w:tcMar>
              <w:top w:type="dxa" w:w="80"/>
              <w:left w:type="dxa" w:w="120"/>
              <w:bottom w:type="dxa" w:w="80"/>
              <w:right w:type="dxa" w:w="120"/>
            </w:tcMar>
          </w:tcPr>
          <w:p>
            <w:r>
              <w:rPr>
                <w:b/>
                <w:bCs/>
                <w:color w:val="FFFFFF"/>
                <w:sz w:val="20"/>
                <w:szCs w:val="20"/>
              </w:rPr>
              <w:t xml:space="preserve">Application</w:t>
            </w:r>
          </w:p>
        </w:tc>
      </w:tr>
      <w:tr>
        <w:tc>
          <w:tcPr>
            <w:tcW w:type="pct" w:w="30%"/>
            <w:tcMar>
              <w:top w:type="dxa" w:w="80"/>
              <w:left w:type="dxa" w:w="120"/>
              <w:bottom w:type="dxa" w:w="80"/>
              <w:right w:type="dxa" w:w="120"/>
            </w:tcMar>
          </w:tcPr>
          <w:p>
            <w:r>
              <w:rPr>
                <w:b w:val="false"/>
                <w:bCs w:val="false"/>
                <w:color w:val="2b2620"/>
                <w:sz w:val="20"/>
                <w:szCs w:val="20"/>
              </w:rPr>
              <w:t xml:space="preserve">Contrôle d'accès par rôle (RBAC)</w:t>
            </w:r>
          </w:p>
        </w:tc>
        <w:tc>
          <w:tcPr>
            <w:tcW w:type="pct" w:w="70%"/>
            <w:tcMar>
              <w:top w:type="dxa" w:w="80"/>
              <w:left w:type="dxa" w:w="120"/>
              <w:bottom w:type="dxa" w:w="80"/>
              <w:right w:type="dxa" w:w="120"/>
            </w:tcMar>
          </w:tcPr>
          <w:p>
            <w:r>
              <w:rPr>
                <w:b w:val="false"/>
                <w:bCs w:val="false"/>
                <w:color w:val="2b2620"/>
                <w:sz w:val="20"/>
                <w:szCs w:val="20"/>
              </w:rPr>
              <w:t xml:space="preserve">Chaque route de l'API revérifie systématiquement le rôle de l'appelant côté serveur, indépendamment de ce que l'interface autorise ou masque côté client.</w:t>
            </w:r>
          </w:p>
        </w:tc>
      </w:tr>
      <w:tr>
        <w:tc>
          <w:tcPr>
            <w:tcW w:type="pct" w:w="30%"/>
            <w:tcMar>
              <w:top w:type="dxa" w:w="80"/>
              <w:left w:type="dxa" w:w="120"/>
              <w:bottom w:type="dxa" w:w="80"/>
              <w:right w:type="dxa" w:w="120"/>
            </w:tcMar>
          </w:tcPr>
          <w:p>
            <w:r>
              <w:rPr>
                <w:b w:val="false"/>
                <w:bCs w:val="false"/>
                <w:color w:val="2b2620"/>
                <w:sz w:val="20"/>
                <w:szCs w:val="20"/>
              </w:rPr>
              <w:t xml:space="preserve">Isolation des données</w:t>
            </w:r>
          </w:p>
        </w:tc>
        <w:tc>
          <w:tcPr>
            <w:tcW w:type="pct" w:w="70%"/>
            <w:tcMar>
              <w:top w:type="dxa" w:w="80"/>
              <w:left w:type="dxa" w:w="120"/>
              <w:bottom w:type="dxa" w:w="80"/>
              <w:right w:type="dxa" w:w="120"/>
            </w:tcMar>
          </w:tcPr>
          <w:p>
            <w:r>
              <w:rPr>
                <w:b w:val="false"/>
                <w:bCs w:val="false"/>
                <w:color w:val="2b2620"/>
                <w:sz w:val="20"/>
                <w:szCs w:val="20"/>
              </w:rPr>
              <w:t xml:space="preserve">Un utilisateur ne peut jamais accéder aux données d'un autre compte non explicitement lié au sien (parent/enfant, patient/spécialiste), vérifié à chaque requête.</w:t>
            </w:r>
          </w:p>
        </w:tc>
      </w:tr>
      <w:tr>
        <w:tc>
          <w:tcPr>
            <w:tcW w:type="pct" w:w="30%"/>
            <w:tcMar>
              <w:top w:type="dxa" w:w="80"/>
              <w:left w:type="dxa" w:w="120"/>
              <w:bottom w:type="dxa" w:w="80"/>
              <w:right w:type="dxa" w:w="120"/>
            </w:tcMar>
          </w:tcPr>
          <w:p>
            <w:r>
              <w:rPr>
                <w:b w:val="false"/>
                <w:bCs w:val="false"/>
                <w:color w:val="2b2620"/>
                <w:sz w:val="20"/>
                <w:szCs w:val="20"/>
              </w:rPr>
              <w:t xml:space="preserve">Mots de passe</w:t>
            </w:r>
          </w:p>
        </w:tc>
        <w:tc>
          <w:tcPr>
            <w:tcW w:type="pct" w:w="70%"/>
            <w:tcMar>
              <w:top w:type="dxa" w:w="80"/>
              <w:left w:type="dxa" w:w="120"/>
              <w:bottom w:type="dxa" w:w="80"/>
              <w:right w:type="dxa" w:w="120"/>
            </w:tcMar>
          </w:tcPr>
          <w:p>
            <w:r>
              <w:rPr>
                <w:b w:val="false"/>
                <w:bCs w:val="false"/>
                <w:color w:val="2b2620"/>
                <w:sz w:val="20"/>
                <w:szCs w:val="20"/>
              </w:rPr>
              <w:t xml:space="preserve">Hachés avec bcrypt (jamais stockés en clair), avec exigence de robustesse (longueur minimale, majuscule, minuscule, chiffre).</w:t>
            </w:r>
          </w:p>
        </w:tc>
      </w:tr>
      <w:tr>
        <w:tc>
          <w:tcPr>
            <w:tcW w:type="pct" w:w="30%"/>
            <w:tcMar>
              <w:top w:type="dxa" w:w="80"/>
              <w:left w:type="dxa" w:w="120"/>
              <w:bottom w:type="dxa" w:w="80"/>
              <w:right w:type="dxa" w:w="120"/>
            </w:tcMar>
          </w:tcPr>
          <w:p>
            <w:r>
              <w:rPr>
                <w:b w:val="false"/>
                <w:bCs w:val="false"/>
                <w:color w:val="2b2620"/>
                <w:sz w:val="20"/>
                <w:szCs w:val="20"/>
              </w:rPr>
              <w:t xml:space="preserve">Authentification à double facteur</w:t>
            </w:r>
          </w:p>
        </w:tc>
        <w:tc>
          <w:tcPr>
            <w:tcW w:type="pct" w:w="70%"/>
            <w:tcMar>
              <w:top w:type="dxa" w:w="80"/>
              <w:left w:type="dxa" w:w="120"/>
              <w:bottom w:type="dxa" w:w="80"/>
              <w:right w:type="dxa" w:w="120"/>
            </w:tcMar>
          </w:tcPr>
          <w:p>
            <w:r>
              <w:rPr>
                <w:b w:val="false"/>
                <w:bCs w:val="false"/>
                <w:color w:val="2b2620"/>
                <w:sz w:val="20"/>
                <w:szCs w:val="20"/>
              </w:rPr>
              <w:t xml:space="preserve">Appliquée aux quatre rôles ; code à usage unique envoyé exclusivement par e-mail, jamais exposé côté client ni dans les journaux serveur, stocké haché en base.</w:t>
            </w:r>
          </w:p>
        </w:tc>
      </w:tr>
      <w:tr>
        <w:tc>
          <w:tcPr>
            <w:tcW w:type="pct" w:w="30%"/>
            <w:tcMar>
              <w:top w:type="dxa" w:w="80"/>
              <w:left w:type="dxa" w:w="120"/>
              <w:bottom w:type="dxa" w:w="80"/>
              <w:right w:type="dxa" w:w="120"/>
            </w:tcMar>
          </w:tcPr>
          <w:p>
            <w:r>
              <w:rPr>
                <w:b w:val="false"/>
                <w:bCs w:val="false"/>
                <w:color w:val="2b2620"/>
                <w:sz w:val="20"/>
                <w:szCs w:val="20"/>
              </w:rPr>
              <w:t xml:space="preserve">Sessions</w:t>
            </w:r>
          </w:p>
        </w:tc>
        <w:tc>
          <w:tcPr>
            <w:tcW w:type="pct" w:w="70%"/>
            <w:tcMar>
              <w:top w:type="dxa" w:w="80"/>
              <w:left w:type="dxa" w:w="120"/>
              <w:bottom w:type="dxa" w:w="80"/>
              <w:right w:type="dxa" w:w="120"/>
            </w:tcMar>
          </w:tcPr>
          <w:p>
            <w:r>
              <w:rPr>
                <w:b w:val="false"/>
                <w:bCs w:val="false"/>
                <w:color w:val="2b2620"/>
                <w:sz w:val="20"/>
                <w:szCs w:val="20"/>
              </w:rPr>
              <w:t xml:space="preserve">Jeton d'accès de courte durée + jeton de rafraîchissement en cookie httpOnly avec rotation, invalidation explicite à la déconnexion.</w:t>
            </w:r>
          </w:p>
        </w:tc>
      </w:tr>
      <w:tr>
        <w:tc>
          <w:tcPr>
            <w:tcW w:type="pct" w:w="30%"/>
            <w:tcMar>
              <w:top w:type="dxa" w:w="80"/>
              <w:left w:type="dxa" w:w="120"/>
              <w:bottom w:type="dxa" w:w="80"/>
              <w:right w:type="dxa" w:w="120"/>
            </w:tcMar>
          </w:tcPr>
          <w:p>
            <w:r>
              <w:rPr>
                <w:b w:val="false"/>
                <w:bCs w:val="false"/>
                <w:color w:val="2b2620"/>
                <w:sz w:val="20"/>
                <w:szCs w:val="20"/>
              </w:rPr>
              <w:t xml:space="preserve">Messagerie de téléconsultation</w:t>
            </w:r>
          </w:p>
        </w:tc>
        <w:tc>
          <w:tcPr>
            <w:tcW w:type="pct" w:w="70%"/>
            <w:tcMar>
              <w:top w:type="dxa" w:w="80"/>
              <w:left w:type="dxa" w:w="120"/>
              <w:bottom w:type="dxa" w:w="80"/>
              <w:right w:type="dxa" w:w="120"/>
            </w:tcMar>
          </w:tcPr>
          <w:p>
            <w:r>
              <w:rPr>
                <w:b w:val="false"/>
                <w:bCs w:val="false"/>
                <w:color w:val="2b2620"/>
                <w:sz w:val="20"/>
                <w:szCs w:val="20"/>
              </w:rPr>
              <w:t xml:space="preserve">Chiffrement de bout en bout (AES-256-GCM) de chaque message avant stockage.</w:t>
            </w:r>
          </w:p>
        </w:tc>
      </w:tr>
      <w:tr>
        <w:tc>
          <w:tcPr>
            <w:tcW w:type="pct" w:w="30%"/>
            <w:tcMar>
              <w:top w:type="dxa" w:w="80"/>
              <w:left w:type="dxa" w:w="120"/>
              <w:bottom w:type="dxa" w:w="80"/>
              <w:right w:type="dxa" w:w="120"/>
            </w:tcMar>
          </w:tcPr>
          <w:p>
            <w:r>
              <w:rPr>
                <w:b w:val="false"/>
                <w:bCs w:val="false"/>
                <w:color w:val="2b2620"/>
                <w:sz w:val="20"/>
                <w:szCs w:val="20"/>
              </w:rPr>
              <w:t xml:space="preserve">Prévention des doubles réservations</w:t>
            </w:r>
          </w:p>
        </w:tc>
        <w:tc>
          <w:tcPr>
            <w:tcW w:type="pct" w:w="70%"/>
            <w:tcMar>
              <w:top w:type="dxa" w:w="80"/>
              <w:left w:type="dxa" w:w="120"/>
              <w:bottom w:type="dxa" w:w="80"/>
              <w:right w:type="dxa" w:w="120"/>
            </w:tcMar>
          </w:tcPr>
          <w:p>
            <w:r>
              <w:rPr>
                <w:b w:val="false"/>
                <w:bCs w:val="false"/>
                <w:color w:val="2b2620"/>
                <w:sz w:val="20"/>
                <w:szCs w:val="20"/>
              </w:rPr>
              <w:t xml:space="preserve">Vérification de chevauchement de créneaux côté serveur sur toute réservation ou déplacement de rendez-vous.</w:t>
            </w:r>
          </w:p>
        </w:tc>
      </w:tr>
      <w:tr>
        <w:tc>
          <w:tcPr>
            <w:tcW w:type="pct" w:w="30%"/>
            <w:tcMar>
              <w:top w:type="dxa" w:w="80"/>
              <w:left w:type="dxa" w:w="120"/>
              <w:bottom w:type="dxa" w:w="80"/>
              <w:right w:type="dxa" w:w="120"/>
            </w:tcMar>
          </w:tcPr>
          <w:p>
            <w:r>
              <w:rPr>
                <w:b w:val="false"/>
                <w:bCs w:val="false"/>
                <w:color w:val="2b2620"/>
                <w:sz w:val="20"/>
                <w:szCs w:val="20"/>
              </w:rPr>
              <w:t xml:space="preserve">Suppression en cascade</w:t>
            </w:r>
          </w:p>
        </w:tc>
        <w:tc>
          <w:tcPr>
            <w:tcW w:type="pct" w:w="70%"/>
            <w:tcMar>
              <w:top w:type="dxa" w:w="80"/>
              <w:left w:type="dxa" w:w="120"/>
              <w:bottom w:type="dxa" w:w="80"/>
              <w:right w:type="dxa" w:w="120"/>
            </w:tcMar>
          </w:tcPr>
          <w:p>
            <w:r>
              <w:rPr>
                <w:b w:val="false"/>
                <w:bCs w:val="false"/>
                <w:color w:val="2b2620"/>
                <w:sz w:val="20"/>
                <w:szCs w:val="20"/>
              </w:rPr>
              <w:t xml:space="preserve">Purge systématique des données liées à un compte supprimé, sans référence orpheline laissée en base.</w:t>
            </w:r>
          </w:p>
        </w:tc>
      </w:tr>
    </w:tbl>
    <w:p>
      <w:pPr>
        <w:sectPr>
          <w:pgSz w:w="11906" w:h="16838" w:orient="portrait"/>
          <w:pgMar w:top="1440" w:right="1440" w:bottom="1440" w:left="1440" w:header="708" w:footer="708" w:gutter="0"/>
          <w:pgNumType/>
          <w:docGrid w:linePitch="360"/>
        </w:sectPr>
      </w:pPr>
    </w:p>
    <w:p>
      <w:pPr>
        <w:pStyle w:val="Heading1"/>
        <w:pageBreakBefore/>
        <w:spacing w:after="200" w:before="400"/>
      </w:pPr>
      <w:r>
        <w:rPr>
          <w:color w:val="1c3a5e"/>
        </w:rPr>
        <w:t xml:space="preserve">9. Conclusion</w:t>
      </w:r>
    </w:p>
    <w:p>
      <w:pPr>
        <w:spacing w:after="160" w:line="276"/>
        <w:jc w:val="both"/>
      </w:pPr>
      <w:r>
        <w:t xml:space="preserve">FamilyBalance couvre l'intégralité du parcours d'accompagnement d'une famille face aux enjeux du numérique : de l'auto-évaluation initiale jusqu'à l'accompagnement par un spécialiste, en passant par l'éducation et l'outillage parental. Chaque module a été conçu pour fonctionner de façon autonome tout en s'articulant avec les autres autour d'une même identité utilisateur et d'un même moteur de scoring, avec un principe directeur constant : ne jamais faire reposer une décision de sécurité ou d'accès sur ce que l'interface affiche, mais toujours la revérifier côté serveur.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rPr>
      <w:rFonts w:ascii="Georgia" w:cs="Georgia" w:eastAsia="Georgia" w:hAnsi="Georgia"/>
      <w:b/>
      <w:bCs/>
      <w:sz w:val="26"/>
      <w:szCs w:val="26"/>
    </w:rPr>
  </w:style>
  <w:style w:type="paragraph" w:styleId="Heading3">
    <w:name w:val="Heading 3"/>
    <w:basedOn w:val="Normal"/>
    <w:next w:val="Normal"/>
    <w:qFormat/>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2026-08-31T08:44:33.298Z</dcterms:created>
  <dcterms:modified xsi:type="dcterms:W3CDTF">2026-08-31T08:44:33.299Z</dcterms:modified>
</cp:coreProperties>
</file>

<file path=docProps/custom.xml><?xml version="1.0" encoding="utf-8"?>
<Properties xmlns="http://schemas.openxmlformats.org/officeDocument/2006/custom-properties" xmlns:vt="http://schemas.openxmlformats.org/officeDocument/2006/docPropsVTypes"/>
</file>