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color w:val="1c3a5e"/>
          <w:sz w:val="30"/>
          <w:szCs w:val="30"/>
        </w:rPr>
        <w:t xml:space="preserve">ESPRIT</w:t>
      </w:r>
    </w:p>
    <w:p>
      <w:pPr>
        <w:spacing w:after="600"/>
        <w:jc w:val="center"/>
      </w:pPr>
      <w:r>
        <w:rPr>
          <w:color w:val="5a5348"/>
          <w:sz w:val="22"/>
          <w:szCs w:val="22"/>
        </w:rPr>
        <w:t xml:space="preserve">École Supérieure Privée d'Ingénierie et de Technologies</w:t>
      </w:r>
    </w:p>
    <w:p>
      <w:pPr>
        <w:spacing w:after="100"/>
        <w:jc w:val="center"/>
      </w:pPr>
      <w:r>
        <w:rPr>
          <w:color w:val="5a5348"/>
          <w:sz w:val="22"/>
          <w:szCs w:val="22"/>
        </w:rPr>
        <w:t xml:space="preserve">Filière Génie Logiciel</w:t>
      </w:r>
    </w:p>
    <w:p>
      <w:pPr>
        <w:spacing w:after="900"/>
        <w:jc w:val="center"/>
      </w:pPr>
      <w:r>
        <w:rPr>
          <w:b/>
          <w:bCs/>
          <w:color w:val="0d7a6f"/>
          <w:sz w:val="24"/>
          <w:szCs w:val="24"/>
        </w:rPr>
        <w:t xml:space="preserve">Rapport de Projet de Fin d'Études</w:t>
      </w:r>
    </w:p>
    <w:p>
      <w:pPr>
        <w:spacing w:after="200"/>
        <w:jc w:val="center"/>
      </w:pPr>
      <w:r>
        <w:rPr>
          <w:rFonts w:ascii="Georgia" w:cs="Georgia" w:eastAsia="Georgia" w:hAnsi="Georgia"/>
          <w:b/>
          <w:bCs/>
          <w:color w:val="1c3a5e"/>
          <w:sz w:val="56"/>
          <w:szCs w:val="56"/>
        </w:rPr>
        <w:t xml:space="preserve">FamilyBalance</w:t>
      </w:r>
    </w:p>
    <w:p>
      <w:pPr>
        <w:spacing w:after="700"/>
        <w:jc w:val="center"/>
      </w:pPr>
      <w:r>
        <w:rPr>
          <w:i/>
          <w:iCs/>
          <w:color w:val="5a5348"/>
          <w:sz w:val="24"/>
          <w:szCs w:val="24"/>
        </w:rPr>
        <w:t xml:space="preserve">Plateforme web d'accompagnement familial à l'équilibre numérique : évaluation, scoring, éducation et téléconsultation</w:t>
      </w:r>
    </w:p>
    <w:p>
      <w:pPr>
        <w:spacing w:after="100"/>
        <w:jc w:val="center"/>
      </w:pPr>
      <w:r>
        <w:rPr>
          <w:color w:val="5a5348"/>
          <w:sz w:val="20"/>
          <w:szCs w:val="20"/>
        </w:rPr>
        <w:t xml:space="preserve">Réalisé par</w:t>
      </w:r>
    </w:p>
    <w:p>
      <w:pPr>
        <w:spacing w:after="500"/>
        <w:jc w:val="center"/>
      </w:pPr>
      <w:r>
        <w:rPr>
          <w:b/>
          <w:bCs/>
          <w:sz w:val="26"/>
          <w:szCs w:val="26"/>
        </w:rPr>
        <w:t xml:space="preserve">Ibrahim Fartoun</w:t>
      </w:r>
    </w:p>
    <w:tbl>
      <w:tblPr>
        <w:tblW w:type="pct" w:w="70%"/>
        <w:jc w:val="center"/>
        <w:tblBorders>
          <w:top w:val="none"/>
          <w:left w:val="none"/>
          <w:bottom w:val="none"/>
          <w:right w:val="none"/>
          <w:insideH w:val="none"/>
          <w:insideV w:val="none"/>
        </w:tblBorders>
      </w:tblPr>
      <w:tblGrid>
        <w:gridCol w:w="100"/>
        <w:gridCol w:w="100"/>
      </w:tblGrid>
      <w:tr>
        <w:tc>
          <w:tcPr>
            <w:tcW w:type="pct" w:w="50%"/>
          </w:tcPr>
          <w:p>
            <w:pPr>
              <w:jc w:val="center"/>
            </w:pPr>
            <w:r>
              <w:rPr>
                <w:b/>
                <w:bCs/>
                <w:sz w:val="20"/>
                <w:szCs w:val="20"/>
              </w:rPr>
              <w:t xml:space="preserve">Encadrant académique</w:t>
            </w:r>
          </w:p>
          <w:p>
            <w:pPr>
              <w:jc w:val="center"/>
            </w:pPr>
            <w:r>
              <w:rPr>
                <w:b/>
                <w:bCs/>
                <w:sz w:val="20"/>
                <w:szCs w:val="20"/>
              </w:rPr>
              <w:t xml:space="preserve">Sami Mohamed</w:t>
            </w:r>
          </w:p>
        </w:tc>
        <w:tc>
          <w:tcPr>
            <w:tcW w:type="pct" w:w="50%"/>
          </w:tcPr>
          <w:p>
            <w:pPr>
              <w:jc w:val="center"/>
            </w:pPr>
            <w:r>
              <w:rPr>
                <w:b/>
                <w:bCs/>
                <w:sz w:val="20"/>
                <w:szCs w:val="20"/>
              </w:rPr>
              <w:t xml:space="preserve">Encadrant professionnel</w:t>
            </w:r>
          </w:p>
          <w:p>
            <w:pPr>
              <w:jc w:val="center"/>
            </w:pPr>
            <w:r>
              <w:rPr>
                <w:b/>
                <w:bCs/>
                <w:sz w:val="20"/>
                <w:szCs w:val="20"/>
              </w:rPr>
              <w:t xml:space="preserve">Salma Malek</w:t>
            </w:r>
          </w:p>
        </w:tc>
      </w:tr>
    </w:tbl>
    <w:p>
      <w:pPr>
        <w:spacing w:after="60" w:before="700"/>
        <w:jc w:val="center"/>
      </w:pPr>
      <w:r>
        <w:rPr>
          <w:b/>
          <w:bCs/>
          <w:sz w:val="22"/>
          <w:szCs w:val="22"/>
        </w:rPr>
        <w:t xml:space="preserve">Organisme d'accueil : Inspark</w:t>
      </w:r>
    </w:p>
    <w:p>
      <w:pPr>
        <w:spacing w:after="60"/>
        <w:jc w:val="center"/>
      </w:pPr>
      <w:r>
        <w:rPr>
          <w:color w:val="5a5348"/>
          <w:sz w:val="20"/>
          <w:szCs w:val="20"/>
        </w:rPr>
        <w:t xml:space="preserve">Tunis, Tunisie</w:t>
      </w:r>
    </w:p>
    <w:p>
      <w:pPr>
        <w:jc w:val="center"/>
      </w:pPr>
      <w:r>
        <w:rPr>
          <w:color w:val="5a5348"/>
          <w:sz w:val="20"/>
          <w:szCs w:val="20"/>
        </w:rPr>
        <w:t xml:space="preserve">Année universitaire 2025 – 2026</w:t>
      </w:r>
    </w:p>
    <w:p>
      <w:pPr>
        <w:sectPr>
          <w:pgSz w:w="11906" w:h="16838" w:orient="portrait"/>
          <w:pgMar w:top="1000" w:right="1200" w:bottom="1000" w:left="1200" w:header="708" w:footer="708" w:gutter="0"/>
          <w:pgNumType/>
          <w:docGrid w:linePitch="360"/>
        </w:sectPr>
      </w:pPr>
    </w:p>
    <w:p>
      <w:pPr>
        <w:pStyle w:val="Heading1"/>
        <w:pageBreakBefore/>
        <w:spacing w:after="200" w:before="400"/>
      </w:pPr>
      <w:r>
        <w:rPr>
          <w:color w:val="1c3a5e"/>
        </w:rPr>
        <w:t xml:space="preserve">Remerciements</w:t>
      </w:r>
    </w:p>
    <w:p>
      <w:pPr>
        <w:spacing w:after="160" w:line="276"/>
        <w:jc w:val="both"/>
      </w:pPr>
      <w:r>
        <w:t xml:space="preserve">Je tiens à exprimer ma sincère gratitude à toute l'équipe d'Inspark pour son accueil, sa disponibilité et la confiance accordée tout au long de ce stage de fin d'études. Cette expérience m'a permis de mettre en pratique mes compétences dans un contexte professionnel exigeant, centré sur l'ingénierie logicielle rigoureuse et l'intégration de l'intelligence artificielle dans des systèmes métier fiables.</w:t>
      </w:r>
    </w:p>
    <w:p>
      <w:pPr>
        <w:spacing w:after="160" w:line="276"/>
        <w:jc w:val="both"/>
      </w:pPr>
      <w:r>
        <w:t xml:space="preserve">Je remercie tout particulièrement Madame Salma Malek, mon encadrante professionnelle au sein d'Inspark, pour son accompagnement, ses retours techniques et sa disponibilité tout au long du stage.</w:t>
      </w:r>
    </w:p>
    <w:p>
      <w:pPr>
        <w:spacing w:after="160" w:line="276"/>
        <w:jc w:val="both"/>
      </w:pPr>
      <w:r>
        <w:t xml:space="preserve">Je remercie également Monsieur Sami Mohamed, mon encadrant académique à ESPRIT, pour son suivi, ses conseils méthodologiques et sa disponibilité tout au long de la réalisation de ce projet.</w:t>
      </w:r>
    </w:p>
    <w:p>
      <w:pPr>
        <w:spacing w:after="160" w:line="276"/>
        <w:jc w:val="both"/>
      </w:pPr>
      <w:r>
        <w:t xml:space="preserve">Enfin, mes remerciements vont à toute personne ayant contribué, de près ou de loin, à l'aboutissement de ce travail.</w:t>
      </w:r>
    </w:p>
    <w:p>
      <w:pPr>
        <w:pStyle w:val="Heading1"/>
        <w:pageBreakBefore/>
        <w:spacing w:after="200" w:before="400"/>
      </w:pPr>
      <w:r>
        <w:rPr>
          <w:color w:val="1c3a5e"/>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pStyle w:val="Heading1"/>
        <w:pageBreakBefore/>
        <w:spacing w:after="200" w:before="400"/>
      </w:pPr>
      <w:r>
        <w:rPr>
          <w:color w:val="1c3a5e"/>
        </w:rPr>
        <w:t xml:space="preserve">Liste des abréviations</w:t>
      </w:r>
    </w:p>
    <w:tbl>
      <w:tblPr>
        <w:tblW w:type="pct" w:w="100%"/>
        <w:tblBorders>
          <w:top w:val="single" w:color="ddd0ba" w:sz="2"/>
          <w:left w:val="single" w:color="ddd0ba" w:sz="2"/>
          <w:bottom w:val="single" w:color="ddd0ba" w:sz="2"/>
          <w:right w:val="single" w:color="ddd0ba" w:sz="2"/>
          <w:insideH w:val="single" w:color="ddd0ba" w:sz="1"/>
          <w:insideV w:val="single" w:color="ddd0ba" w:sz="1"/>
        </w:tblBorders>
      </w:tblPr>
      <w:tblGrid>
        <w:gridCol w:w="100"/>
        <w:gridCol w:w="100"/>
      </w:tblGrid>
      <w:tr>
        <w:tc>
          <w:tcPr>
            <w:tcW w:type="pct" w:w="30%"/>
            <w:shd w:fill="1c3a5e" w:val="clear"/>
            <w:tcMar>
              <w:top w:type="dxa" w:w="80"/>
              <w:left w:type="dxa" w:w="120"/>
              <w:bottom w:type="dxa" w:w="80"/>
              <w:right w:type="dxa" w:w="120"/>
            </w:tcMar>
          </w:tcPr>
          <w:p>
            <w:r>
              <w:rPr>
                <w:b/>
                <w:bCs/>
                <w:color w:val="FFFFFF"/>
                <w:sz w:val="20"/>
                <w:szCs w:val="20"/>
              </w:rPr>
              <w:t xml:space="preserve">Abréviation</w:t>
            </w:r>
          </w:p>
        </w:tc>
        <w:tc>
          <w:tcPr>
            <w:tcW w:type="pct" w:w="70%"/>
            <w:shd w:fill="1c3a5e" w:val="clear"/>
            <w:tcMar>
              <w:top w:type="dxa" w:w="80"/>
              <w:left w:type="dxa" w:w="120"/>
              <w:bottom w:type="dxa" w:w="80"/>
              <w:right w:type="dxa" w:w="120"/>
            </w:tcMar>
          </w:tcPr>
          <w:p>
            <w:r>
              <w:rPr>
                <w:b/>
                <w:bCs/>
                <w:color w:val="FFFFFF"/>
                <w:sz w:val="20"/>
                <w:szCs w:val="20"/>
              </w:rPr>
              <w:t xml:space="preserve">Signification</w:t>
            </w:r>
          </w:p>
        </w:tc>
      </w:tr>
      <w:tr>
        <w:tc>
          <w:tcPr>
            <w:tcW w:type="pct" w:w="30%"/>
            <w:tcMar>
              <w:top w:type="dxa" w:w="80"/>
              <w:left w:type="dxa" w:w="120"/>
              <w:bottom w:type="dxa" w:w="80"/>
              <w:right w:type="dxa" w:w="120"/>
            </w:tcMar>
          </w:tcPr>
          <w:p>
            <w:r>
              <w:rPr>
                <w:b w:val="false"/>
                <w:bCs w:val="false"/>
                <w:color w:val="2b2620"/>
                <w:sz w:val="20"/>
                <w:szCs w:val="20"/>
              </w:rPr>
              <w:t xml:space="preserve">API</w:t>
            </w:r>
          </w:p>
        </w:tc>
        <w:tc>
          <w:tcPr>
            <w:tcW w:type="pct" w:w="70%"/>
            <w:tcMar>
              <w:top w:type="dxa" w:w="80"/>
              <w:left w:type="dxa" w:w="120"/>
              <w:bottom w:type="dxa" w:w="80"/>
              <w:right w:type="dxa" w:w="120"/>
            </w:tcMar>
          </w:tcPr>
          <w:p>
            <w:r>
              <w:rPr>
                <w:b w:val="false"/>
                <w:bCs w:val="false"/>
                <w:color w:val="2b2620"/>
                <w:sz w:val="20"/>
                <w:szCs w:val="20"/>
              </w:rPr>
              <w:t xml:space="preserve">Application Programming Interface</w:t>
            </w:r>
          </w:p>
        </w:tc>
      </w:tr>
      <w:tr>
        <w:tc>
          <w:tcPr>
            <w:tcW w:type="pct" w:w="30%"/>
            <w:tcMar>
              <w:top w:type="dxa" w:w="80"/>
              <w:left w:type="dxa" w:w="120"/>
              <w:bottom w:type="dxa" w:w="80"/>
              <w:right w:type="dxa" w:w="120"/>
            </w:tcMar>
          </w:tcPr>
          <w:p>
            <w:r>
              <w:rPr>
                <w:b w:val="false"/>
                <w:bCs w:val="false"/>
                <w:color w:val="2b2620"/>
                <w:sz w:val="20"/>
                <w:szCs w:val="20"/>
              </w:rPr>
              <w:t xml:space="preserve">CRUD</w:t>
            </w:r>
          </w:p>
        </w:tc>
        <w:tc>
          <w:tcPr>
            <w:tcW w:type="pct" w:w="70%"/>
            <w:tcMar>
              <w:top w:type="dxa" w:w="80"/>
              <w:left w:type="dxa" w:w="120"/>
              <w:bottom w:type="dxa" w:w="80"/>
              <w:right w:type="dxa" w:w="120"/>
            </w:tcMar>
          </w:tcPr>
          <w:p>
            <w:r>
              <w:rPr>
                <w:b w:val="false"/>
                <w:bCs w:val="false"/>
                <w:color w:val="2b2620"/>
                <w:sz w:val="20"/>
                <w:szCs w:val="20"/>
              </w:rPr>
              <w:t xml:space="preserve">Create, Read, Update, Delete</w:t>
            </w:r>
          </w:p>
        </w:tc>
      </w:tr>
      <w:tr>
        <w:tc>
          <w:tcPr>
            <w:tcW w:type="pct" w:w="30%"/>
            <w:tcMar>
              <w:top w:type="dxa" w:w="80"/>
              <w:left w:type="dxa" w:w="120"/>
              <w:bottom w:type="dxa" w:w="80"/>
              <w:right w:type="dxa" w:w="120"/>
            </w:tcMar>
          </w:tcPr>
          <w:p>
            <w:r>
              <w:rPr>
                <w:b w:val="false"/>
                <w:bCs w:val="false"/>
                <w:color w:val="2b2620"/>
                <w:sz w:val="20"/>
                <w:szCs w:val="20"/>
              </w:rPr>
              <w:t xml:space="preserve">JWT</w:t>
            </w:r>
          </w:p>
        </w:tc>
        <w:tc>
          <w:tcPr>
            <w:tcW w:type="pct" w:w="70%"/>
            <w:tcMar>
              <w:top w:type="dxa" w:w="80"/>
              <w:left w:type="dxa" w:w="120"/>
              <w:bottom w:type="dxa" w:w="80"/>
              <w:right w:type="dxa" w:w="120"/>
            </w:tcMar>
          </w:tcPr>
          <w:p>
            <w:r>
              <w:rPr>
                <w:b w:val="false"/>
                <w:bCs w:val="false"/>
                <w:color w:val="2b2620"/>
                <w:sz w:val="20"/>
                <w:szCs w:val="20"/>
              </w:rPr>
              <w:t xml:space="preserve">JSON Web Token</w:t>
            </w:r>
          </w:p>
        </w:tc>
      </w:tr>
      <w:tr>
        <w:tc>
          <w:tcPr>
            <w:tcW w:type="pct" w:w="30%"/>
            <w:tcMar>
              <w:top w:type="dxa" w:w="80"/>
              <w:left w:type="dxa" w:w="120"/>
              <w:bottom w:type="dxa" w:w="80"/>
              <w:right w:type="dxa" w:w="120"/>
            </w:tcMar>
          </w:tcPr>
          <w:p>
            <w:r>
              <w:rPr>
                <w:b w:val="false"/>
                <w:bCs w:val="false"/>
                <w:color w:val="2b2620"/>
                <w:sz w:val="20"/>
                <w:szCs w:val="20"/>
              </w:rPr>
              <w:t xml:space="preserve">MFA</w:t>
            </w:r>
          </w:p>
        </w:tc>
        <w:tc>
          <w:tcPr>
            <w:tcW w:type="pct" w:w="70%"/>
            <w:tcMar>
              <w:top w:type="dxa" w:w="80"/>
              <w:left w:type="dxa" w:w="120"/>
              <w:bottom w:type="dxa" w:w="80"/>
              <w:right w:type="dxa" w:w="120"/>
            </w:tcMar>
          </w:tcPr>
          <w:p>
            <w:r>
              <w:rPr>
                <w:b w:val="false"/>
                <w:bCs w:val="false"/>
                <w:color w:val="2b2620"/>
                <w:sz w:val="20"/>
                <w:szCs w:val="20"/>
              </w:rPr>
              <w:t xml:space="preserve">Multi-Factor Authentication (authentification à double facteur)</w:t>
            </w:r>
          </w:p>
        </w:tc>
      </w:tr>
      <w:tr>
        <w:tc>
          <w:tcPr>
            <w:tcW w:type="pct" w:w="30%"/>
            <w:tcMar>
              <w:top w:type="dxa" w:w="80"/>
              <w:left w:type="dxa" w:w="120"/>
              <w:bottom w:type="dxa" w:w="80"/>
              <w:right w:type="dxa" w:w="120"/>
            </w:tcMar>
          </w:tcPr>
          <w:p>
            <w:r>
              <w:rPr>
                <w:b w:val="false"/>
                <w:bCs w:val="false"/>
                <w:color w:val="2b2620"/>
                <w:sz w:val="20"/>
                <w:szCs w:val="20"/>
              </w:rPr>
              <w:t xml:space="preserve">MongoDB / ODM</w:t>
            </w:r>
          </w:p>
        </w:tc>
        <w:tc>
          <w:tcPr>
            <w:tcW w:type="pct" w:w="70%"/>
            <w:tcMar>
              <w:top w:type="dxa" w:w="80"/>
              <w:left w:type="dxa" w:w="120"/>
              <w:bottom w:type="dxa" w:w="80"/>
              <w:right w:type="dxa" w:w="120"/>
            </w:tcMar>
          </w:tcPr>
          <w:p>
            <w:r>
              <w:rPr>
                <w:b w:val="false"/>
                <w:bCs w:val="false"/>
                <w:color w:val="2b2620"/>
                <w:sz w:val="20"/>
                <w:szCs w:val="20"/>
              </w:rPr>
              <w:t xml:space="preserve">Base de données NoSQL orientée documents / Object-Document Mapper (Mongoose)</w:t>
            </w:r>
          </w:p>
        </w:tc>
      </w:tr>
      <w:tr>
        <w:tc>
          <w:tcPr>
            <w:tcW w:type="pct" w:w="30%"/>
            <w:tcMar>
              <w:top w:type="dxa" w:w="80"/>
              <w:left w:type="dxa" w:w="120"/>
              <w:bottom w:type="dxa" w:w="80"/>
              <w:right w:type="dxa" w:w="120"/>
            </w:tcMar>
          </w:tcPr>
          <w:p>
            <w:r>
              <w:rPr>
                <w:b w:val="false"/>
                <w:bCs w:val="false"/>
                <w:color w:val="2b2620"/>
                <w:sz w:val="20"/>
                <w:szCs w:val="20"/>
              </w:rPr>
              <w:t xml:space="preserve">PFE</w:t>
            </w:r>
          </w:p>
        </w:tc>
        <w:tc>
          <w:tcPr>
            <w:tcW w:type="pct" w:w="70%"/>
            <w:tcMar>
              <w:top w:type="dxa" w:w="80"/>
              <w:left w:type="dxa" w:w="120"/>
              <w:bottom w:type="dxa" w:w="80"/>
              <w:right w:type="dxa" w:w="120"/>
            </w:tcMar>
          </w:tcPr>
          <w:p>
            <w:r>
              <w:rPr>
                <w:b w:val="false"/>
                <w:bCs w:val="false"/>
                <w:color w:val="2b2620"/>
                <w:sz w:val="20"/>
                <w:szCs w:val="20"/>
              </w:rPr>
              <w:t xml:space="preserve">Projet de Fin d'Études</w:t>
            </w:r>
          </w:p>
        </w:tc>
      </w:tr>
      <w:tr>
        <w:tc>
          <w:tcPr>
            <w:tcW w:type="pct" w:w="30%"/>
            <w:tcMar>
              <w:top w:type="dxa" w:w="80"/>
              <w:left w:type="dxa" w:w="120"/>
              <w:bottom w:type="dxa" w:w="80"/>
              <w:right w:type="dxa" w:w="120"/>
            </w:tcMar>
          </w:tcPr>
          <w:p>
            <w:r>
              <w:rPr>
                <w:b w:val="false"/>
                <w:bCs w:val="false"/>
                <w:color w:val="2b2620"/>
                <w:sz w:val="20"/>
                <w:szCs w:val="20"/>
              </w:rPr>
              <w:t xml:space="preserve">RBAC</w:t>
            </w:r>
          </w:p>
        </w:tc>
        <w:tc>
          <w:tcPr>
            <w:tcW w:type="pct" w:w="70%"/>
            <w:tcMar>
              <w:top w:type="dxa" w:w="80"/>
              <w:left w:type="dxa" w:w="120"/>
              <w:bottom w:type="dxa" w:w="80"/>
              <w:right w:type="dxa" w:w="120"/>
            </w:tcMar>
          </w:tcPr>
          <w:p>
            <w:r>
              <w:rPr>
                <w:b w:val="false"/>
                <w:bCs w:val="false"/>
                <w:color w:val="2b2620"/>
                <w:sz w:val="20"/>
                <w:szCs w:val="20"/>
              </w:rPr>
              <w:t xml:space="preserve">Role-Based Access Control (contrôle d'accès basé sur les rôles)</w:t>
            </w:r>
          </w:p>
        </w:tc>
      </w:tr>
      <w:tr>
        <w:tc>
          <w:tcPr>
            <w:tcW w:type="pct" w:w="30%"/>
            <w:tcMar>
              <w:top w:type="dxa" w:w="80"/>
              <w:left w:type="dxa" w:w="120"/>
              <w:bottom w:type="dxa" w:w="80"/>
              <w:right w:type="dxa" w:w="120"/>
            </w:tcMar>
          </w:tcPr>
          <w:p>
            <w:r>
              <w:rPr>
                <w:b w:val="false"/>
                <w:bCs w:val="false"/>
                <w:color w:val="2b2620"/>
                <w:sz w:val="20"/>
                <w:szCs w:val="20"/>
              </w:rPr>
              <w:t xml:space="preserve">RGPD</w:t>
            </w:r>
          </w:p>
        </w:tc>
        <w:tc>
          <w:tcPr>
            <w:tcW w:type="pct" w:w="70%"/>
            <w:tcMar>
              <w:top w:type="dxa" w:w="80"/>
              <w:left w:type="dxa" w:w="120"/>
              <w:bottom w:type="dxa" w:w="80"/>
              <w:right w:type="dxa" w:w="120"/>
            </w:tcMar>
          </w:tcPr>
          <w:p>
            <w:r>
              <w:rPr>
                <w:b w:val="false"/>
                <w:bCs w:val="false"/>
                <w:color w:val="2b2620"/>
                <w:sz w:val="20"/>
                <w:szCs w:val="20"/>
              </w:rPr>
              <w:t xml:space="preserve">Règlement Général sur la Protection des Données</w:t>
            </w:r>
          </w:p>
        </w:tc>
      </w:tr>
      <w:tr>
        <w:tc>
          <w:tcPr>
            <w:tcW w:type="pct" w:w="30%"/>
            <w:tcMar>
              <w:top w:type="dxa" w:w="80"/>
              <w:left w:type="dxa" w:w="120"/>
              <w:bottom w:type="dxa" w:w="80"/>
              <w:right w:type="dxa" w:w="120"/>
            </w:tcMar>
          </w:tcPr>
          <w:p>
            <w:r>
              <w:rPr>
                <w:b w:val="false"/>
                <w:bCs w:val="false"/>
                <w:color w:val="2b2620"/>
                <w:sz w:val="20"/>
                <w:szCs w:val="20"/>
              </w:rPr>
              <w:t xml:space="preserve">SMTP</w:t>
            </w:r>
          </w:p>
        </w:tc>
        <w:tc>
          <w:tcPr>
            <w:tcW w:type="pct" w:w="70%"/>
            <w:tcMar>
              <w:top w:type="dxa" w:w="80"/>
              <w:left w:type="dxa" w:w="120"/>
              <w:bottom w:type="dxa" w:w="80"/>
              <w:right w:type="dxa" w:w="120"/>
            </w:tcMar>
          </w:tcPr>
          <w:p>
            <w:r>
              <w:rPr>
                <w:b w:val="false"/>
                <w:bCs w:val="false"/>
                <w:color w:val="2b2620"/>
                <w:sz w:val="20"/>
                <w:szCs w:val="20"/>
              </w:rPr>
              <w:t xml:space="preserve">Simple Mail Transfer Protocol</w:t>
            </w:r>
          </w:p>
        </w:tc>
      </w:tr>
      <w:tr>
        <w:tc>
          <w:tcPr>
            <w:tcW w:type="pct" w:w="30%"/>
            <w:tcMar>
              <w:top w:type="dxa" w:w="80"/>
              <w:left w:type="dxa" w:w="120"/>
              <w:bottom w:type="dxa" w:w="80"/>
              <w:right w:type="dxa" w:w="120"/>
            </w:tcMar>
          </w:tcPr>
          <w:p>
            <w:r>
              <w:rPr>
                <w:b w:val="false"/>
                <w:bCs w:val="false"/>
                <w:color w:val="2b2620"/>
                <w:sz w:val="20"/>
                <w:szCs w:val="20"/>
              </w:rPr>
              <w:t xml:space="preserve">UML</w:t>
            </w:r>
          </w:p>
        </w:tc>
        <w:tc>
          <w:tcPr>
            <w:tcW w:type="pct" w:w="70%"/>
            <w:tcMar>
              <w:top w:type="dxa" w:w="80"/>
              <w:left w:type="dxa" w:w="120"/>
              <w:bottom w:type="dxa" w:w="80"/>
              <w:right w:type="dxa" w:w="120"/>
            </w:tcMar>
          </w:tcPr>
          <w:p>
            <w:r>
              <w:rPr>
                <w:b w:val="false"/>
                <w:bCs w:val="false"/>
                <w:color w:val="2b2620"/>
                <w:sz w:val="20"/>
                <w:szCs w:val="20"/>
              </w:rPr>
              <w:t xml:space="preserve">Unified Modeling Language</w:t>
            </w:r>
          </w:p>
        </w:tc>
      </w:tr>
      <w:tr>
        <w:tc>
          <w:tcPr>
            <w:tcW w:type="pct" w:w="30%"/>
            <w:tcMar>
              <w:top w:type="dxa" w:w="80"/>
              <w:left w:type="dxa" w:w="120"/>
              <w:bottom w:type="dxa" w:w="80"/>
              <w:right w:type="dxa" w:w="120"/>
            </w:tcMar>
          </w:tcPr>
          <w:p>
            <w:r>
              <w:rPr>
                <w:b w:val="false"/>
                <w:bCs w:val="false"/>
                <w:color w:val="2b2620"/>
                <w:sz w:val="20"/>
                <w:szCs w:val="20"/>
              </w:rPr>
              <w:t xml:space="preserve">UX/UI</w:t>
            </w:r>
          </w:p>
        </w:tc>
        <w:tc>
          <w:tcPr>
            <w:tcW w:type="pct" w:w="70%"/>
            <w:tcMar>
              <w:top w:type="dxa" w:w="80"/>
              <w:left w:type="dxa" w:w="120"/>
              <w:bottom w:type="dxa" w:w="80"/>
              <w:right w:type="dxa" w:w="120"/>
            </w:tcMar>
          </w:tcPr>
          <w:p>
            <w:r>
              <w:rPr>
                <w:b w:val="false"/>
                <w:bCs w:val="false"/>
                <w:color w:val="2b2620"/>
                <w:sz w:val="20"/>
                <w:szCs w:val="20"/>
              </w:rPr>
              <w:t xml:space="preserve">User Experience / User Interface</w:t>
            </w:r>
          </w:p>
        </w:tc>
      </w:tr>
    </w:tbl>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Introduction générale</w:t>
      </w:r>
    </w:p>
    <w:p>
      <w:pPr>
        <w:spacing w:after="160" w:line="276"/>
        <w:jc w:val="both"/>
      </w:pPr>
      <w:r>
        <w:t xml:space="preserve">L'omniprésence des écrans dans le quotidien des familles pose un défi éducatif et sanitaire majeur : comment accompagner les enfants et adolescents vers un usage numérique équilibré, sans tomber dans la surveillance intrusive ni dans le laisser-faire ? De nombreuses solutions existantes se concentrent sur le contrôle technique (blocage d'applications, restriction du temps d'écran) au détriment du dialogue et de l'accompagnement pédagogique.</w:t>
      </w:r>
    </w:p>
    <w:p>
      <w:pPr>
        <w:spacing w:after="160" w:line="276"/>
        <w:jc w:val="both"/>
      </w:pPr>
      <w:r>
        <w:t xml:space="preserve">C'est dans ce contexte que s'inscrit le projet FamilyBalance, développé dans le cadre de mon stage de fin d'études au sein de la société Inspark. FamilyBalance propose une approche différente : plutôt qu'un agent de surveillance installé sur les appareils, l'application s'appuie sur des questionnaires d'auto-évaluation périodiques, un système de scoring comportemental, émotionnel et social, et un accompagnement combinant ressources éducatives, outils parentaux et téléconsultation avec des spécialistes.</w:t>
      </w:r>
    </w:p>
    <w:p>
      <w:pPr>
        <w:spacing w:after="160" w:line="276"/>
        <w:jc w:val="both"/>
      </w:pPr>
      <w:r>
        <w:t xml:space="preserve">Ce rapport présente l'ensemble de la démarche suivie pour concevoir, développer et valider cette plateforme. Il s'organise en cinq chapitres : le premier situe le cadre général du projet et l'organisme d'accueil ; le second détaille l'étude des besoins et la spécification fonctionnelle ; le troisième expose les choix de conception et d'architecture ; le quatrième décrit la réalisation technique module par module ; le cinquième présente la stratégie de tests et les résultats de validation. Le rapport se conclut par un bilan du travail accompli et les perspectives d'évolution du projet.</w:t>
      </w:r>
    </w:p>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Chapitre 1 — Cadre général du projet</w:t>
      </w:r>
    </w:p>
    <w:p>
      <w:pPr>
        <w:pStyle w:val="Heading2"/>
        <w:spacing w:after="150" w:before="300"/>
      </w:pPr>
      <w:r>
        <w:rPr>
          <w:color w:val="0d7a6f"/>
        </w:rPr>
        <w:t xml:space="preserve">1.1 Présentation de l'organisme d'accueil</w:t>
      </w:r>
    </w:p>
    <w:p>
      <w:pPr>
        <w:spacing w:after="160" w:line="276"/>
        <w:jc w:val="both"/>
      </w:pPr>
      <w:r>
        <w:rPr>
          <w:b/>
          <w:bCs/>
        </w:rPr>
        <w:t xml:space="preserve">Inspark</w:t>
      </w:r>
      <w:r>
        <w:t xml:space="preserve"> est une société tunisienne basée à Tunis, spécialisée dans les services technologiques et l'intelligence artificielle appliquée. L'entreprise se positionne sur l'automatisation intelligente et le développement de logiciels assistés par l'IA, avec pour mission d'aider les organisations à transformer l'intelligence artificielle en systèmes métier fiables et exploitables en production.</w:t>
      </w:r>
    </w:p>
    <w:p>
      <w:pPr>
        <w:spacing w:after="160" w:line="276"/>
        <w:jc w:val="both"/>
      </w:pPr>
      <w:r>
        <w:t xml:space="preserve">L'activité d'Inspark s'articule autour de quatre axes opérationnels :</w:t>
      </w:r>
    </w:p>
    <w:p>
      <w:pPr>
        <w:pStyle w:val="ListParagraph"/>
        <w:numPr>
          <w:ilvl w:val="0"/>
          <w:numId w:val="1"/>
        </w:numPr>
        <w:spacing w:after="90"/>
      </w:pPr>
      <w:r>
        <w:t xml:space="preserve">Automatiser — réduction du travail répétitif par l'automatisation intelligente des processus ;</w:t>
      </w:r>
    </w:p>
    <w:p>
      <w:pPr>
        <w:pStyle w:val="ListParagraph"/>
        <w:numPr>
          <w:ilvl w:val="0"/>
          <w:numId w:val="1"/>
        </w:numPr>
        <w:spacing w:after="90"/>
      </w:pPr>
      <w:r>
        <w:t xml:space="preserve">Construire — développement de plateformes et de logiciels agentiques sur mesure ;</w:t>
      </w:r>
    </w:p>
    <w:p>
      <w:pPr>
        <w:pStyle w:val="ListParagraph"/>
        <w:numPr>
          <w:ilvl w:val="0"/>
          <w:numId w:val="1"/>
        </w:numPr>
        <w:spacing w:after="90"/>
      </w:pPr>
      <w:r>
        <w:t xml:space="preserve">Classer — structuration et optimisation des données pour les moteurs d'intelligence artificielle ;</w:t>
      </w:r>
    </w:p>
    <w:p>
      <w:pPr>
        <w:pStyle w:val="ListParagraph"/>
        <w:numPr>
          <w:ilvl w:val="0"/>
          <w:numId w:val="1"/>
        </w:numPr>
        <w:spacing w:after="90"/>
      </w:pPr>
      <w:r>
        <w:t xml:space="preserve">Auditer — évaluation des risques et identification des opportunités liées à l'adoption de l'IA.</w:t>
      </w:r>
    </w:p>
    <w:p>
      <w:pPr>
        <w:spacing w:after="160" w:line="276"/>
        <w:jc w:val="both"/>
      </w:pPr>
      <w:r>
        <w:t xml:space="preserve">L'entreprise revendique une discipline d'ingénierie stricte, avec des pratiques de sécurité et de qualité inspirées de normes exigeantes (ISO 13485, IEC 62304), une forte exigence de traçabilité et de gouvernance, ainsi qu'une conformité réglementaire aux référentiels RGPD et SOC — une orientation particulièrement pertinente pour des secteurs hautement réglementés tels que la santé et les services financiers, sur lesquels Inspark revendique une expertise reconnue.</w:t>
      </w:r>
    </w:p>
    <w:p>
      <w:pPr>
        <w:spacing w:after="160" w:line="276"/>
        <w:jc w:val="both"/>
      </w:pPr>
      <w:r>
        <w:t xml:space="preserve">C'est dans cet environnement, où la rigueur d'ingénierie et la sécurité des données sont des exigences de premier plan, que le projet FamilyBalance a été conçu et développé — deux préoccupations directement présentes dans le traitement de données sensibles relatives à des mineurs.</w:t>
      </w:r>
    </w:p>
    <w:p>
      <w:pPr>
        <w:pStyle w:val="Heading2"/>
        <w:spacing w:after="150" w:before="300"/>
      </w:pPr>
      <w:r>
        <w:rPr>
          <w:color w:val="0d7a6f"/>
        </w:rPr>
        <w:t xml:space="preserve">1.2 Contexte général du projet</w:t>
      </w:r>
    </w:p>
    <w:p>
      <w:pPr>
        <w:spacing w:after="160" w:line="276"/>
        <w:jc w:val="both"/>
      </w:pPr>
      <w:r>
        <w:t xml:space="preserve">FamilyBalance répond à un besoin sociétal croissant : outiller les familles face à l'exposition numérique des enfants et adolescents, sans recourir à une logique de surveillance unilatérale. Le projet se distingue des solutions de contrôle parental classiques par son approche fondée sur l'auto-évaluation, le dialogue familial et l'accompagnement professionnel plutôt que sur la restriction technique pure.</w:t>
      </w:r>
    </w:p>
    <w:p>
      <w:pPr>
        <w:pStyle w:val="Heading2"/>
        <w:spacing w:after="150" w:before="300"/>
      </w:pPr>
      <w:r>
        <w:rPr>
          <w:color w:val="0d7a6f"/>
        </w:rPr>
        <w:t xml:space="preserve">1.3 Problématique</w:t>
      </w:r>
    </w:p>
    <w:p>
      <w:pPr>
        <w:spacing w:after="160" w:line="276"/>
        <w:jc w:val="both"/>
      </w:pPr>
      <w:r>
        <w:t xml:space="preserve">Les solutions de contrôle parental existantes présentent généralement l'une des limites suivantes : soit elles se limitent à un blocage technique perçu comme intrusif par l'adolescent et propice à la rupture de confiance, soit elles se contentent d'un tableau de bord de statistiques sans accompagnement pédagogique réel. Aucune ne combine, au sein d'une même plateforme, l'évaluation psychosociale structurée, le scoring dynamique du risque, l'accès à des ressources éducatives adaptées à l'âge, des outils concrets pour le parent (contrats numériques, plannings), et un accès direct à des spécialistes via téléconsultation sécurisée.</w:t>
      </w:r>
    </w:p>
    <w:p>
      <w:pPr>
        <w:pStyle w:val="Heading2"/>
        <w:spacing w:after="150" w:before="300"/>
      </w:pPr>
      <w:r>
        <w:rPr>
          <w:color w:val="0d7a6f"/>
        </w:rPr>
        <w:t xml:space="preserve">1.4 Objectifs du projet</w:t>
      </w:r>
    </w:p>
    <w:p>
      <w:pPr>
        <w:spacing w:after="160" w:line="276"/>
        <w:jc w:val="both"/>
      </w:pPr>
      <w:r>
        <w:t xml:space="preserve">Le projet FamilyBalance vise à concevoir et développer une plateforme web répondant aux objectifs suivants :</w:t>
      </w:r>
    </w:p>
    <w:p>
      <w:pPr>
        <w:pStyle w:val="ListParagraph"/>
        <w:numPr>
          <w:ilvl w:val="0"/>
          <w:numId w:val="2"/>
        </w:numPr>
        <w:spacing w:after="90"/>
      </w:pPr>
      <w:r>
        <w:t xml:space="preserve">Permettre à un parent ou un adolescent de réaliser un questionnaire d'auto-évaluation adapté à la tranche d'âge (3 à 18 ans) ;</w:t>
      </w:r>
    </w:p>
    <w:p>
      <w:pPr>
        <w:pStyle w:val="ListParagraph"/>
        <w:numPr>
          <w:ilvl w:val="0"/>
          <w:numId w:val="2"/>
        </w:numPr>
        <w:spacing w:after="90"/>
      </w:pPr>
      <w:r>
        <w:t xml:space="preserve">Calculer un score de risque dynamique (comportemental, émotionnel, social, parental) et générer des recommandations personnalisées ;</w:t>
      </w:r>
    </w:p>
    <w:p>
      <w:pPr>
        <w:pStyle w:val="ListParagraph"/>
        <w:numPr>
          <w:ilvl w:val="0"/>
          <w:numId w:val="2"/>
        </w:numPr>
        <w:spacing w:after="90"/>
      </w:pPr>
      <w:r>
        <w:t xml:space="preserve">Offrir un tableau de bord familial permettant au parent de suivre l'évolution de chaque enfant rattaché à son compte ;</w:t>
      </w:r>
    </w:p>
    <w:p>
      <w:pPr>
        <w:pStyle w:val="ListParagraph"/>
        <w:numPr>
          <w:ilvl w:val="0"/>
          <w:numId w:val="2"/>
        </w:numPr>
        <w:spacing w:after="90"/>
      </w:pPr>
      <w:r>
        <w:t xml:space="preserve">Proposer un espace éducatif avec bibliothèque de ressources filtrées par âge, parcours e-learning gamifié et boîte à outils parentale ;</w:t>
      </w:r>
    </w:p>
    <w:p>
      <w:pPr>
        <w:pStyle w:val="ListParagraph"/>
        <w:numPr>
          <w:ilvl w:val="0"/>
          <w:numId w:val="2"/>
        </w:numPr>
        <w:spacing w:after="90"/>
      </w:pPr>
      <w:r>
        <w:t xml:space="preserve">Permettre la réservation, l'annulation et la modification de téléconsultations avec des spécialistes, avec messagerie chiffrée de bout en bout ;</w:t>
      </w:r>
    </w:p>
    <w:p>
      <w:pPr>
        <w:pStyle w:val="ListParagraph"/>
        <w:numPr>
          <w:ilvl w:val="0"/>
          <w:numId w:val="2"/>
        </w:numPr>
        <w:spacing w:after="90"/>
      </w:pPr>
      <w:r>
        <w:t xml:space="preserve">Fournir un espace d'administration permettant la gestion sécurisée des comptes utilisateurs ;</w:t>
      </w:r>
    </w:p>
    <w:p>
      <w:pPr>
        <w:pStyle w:val="ListParagraph"/>
        <w:numPr>
          <w:ilvl w:val="0"/>
          <w:numId w:val="2"/>
        </w:numPr>
        <w:spacing w:after="90"/>
      </w:pPr>
      <w:r>
        <w:t xml:space="preserve">Garantir la sécurité des données à chaque étape : authentification forte, chiffrement, contrôle d'accès strict basé sur les rôles.</w:t>
      </w:r>
    </w:p>
    <w:p>
      <w:pPr>
        <w:pStyle w:val="Heading2"/>
        <w:spacing w:after="150" w:before="300"/>
      </w:pPr>
      <w:r>
        <w:rPr>
          <w:color w:val="0d7a6f"/>
        </w:rPr>
        <w:t xml:space="preserve">1.5 Méthodologie de travail</w:t>
      </w:r>
    </w:p>
    <w:p>
      <w:pPr>
        <w:spacing w:after="160" w:line="276"/>
        <w:jc w:val="both"/>
      </w:pPr>
      <w:r>
        <w:t xml:space="preserve">Le développement a suivi une démarche itérative et incrémentale, module par module, avec à chaque étape un cycle systématique : analyse du besoin, implémentation, puis vérification en conditions réelles (tests fonctionnels bout en bout contre l'API réelle et la base MongoDB réelle, et non de simples tests unitaires isolés) avant de considérer une fonctionnalité comme terminée. Cette discipline de vérification systématique — inspirée directement de la culture d'ingénierie d'Inspark — a permis d'identifier et de corriger plusieurs anomalies fonctionnelles et failles de sécurité qui ne seraient pas apparues lors d'une simple relecture de code (voir chapitre 5).</w:t>
      </w:r>
    </w:p>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Chapitre 2 — Étude et spécification des besoins</w:t>
      </w:r>
    </w:p>
    <w:p>
      <w:pPr>
        <w:pStyle w:val="Heading2"/>
        <w:spacing w:after="150" w:before="300"/>
      </w:pPr>
      <w:r>
        <w:rPr>
          <w:color w:val="0d7a6f"/>
        </w:rPr>
        <w:t xml:space="preserve">2.1 Identification des acteurs</w:t>
      </w:r>
    </w:p>
    <w:p>
      <w:pPr>
        <w:spacing w:after="160" w:line="276"/>
        <w:jc w:val="both"/>
      </w:pPr>
      <w:r>
        <w:t xml:space="preserve">L'application FamilyBalance distingue quatre acteurs, chacun disposant d'un périmètre fonctionnel et de droits d'accès strictement délimités :</w:t>
      </w:r>
    </w:p>
    <w:tbl>
      <w:tblPr>
        <w:tblW w:type="pct" w:w="100%"/>
        <w:tblBorders>
          <w:top w:val="single" w:color="ddd0ba" w:sz="2"/>
          <w:left w:val="single" w:color="ddd0ba" w:sz="2"/>
          <w:bottom w:val="single" w:color="ddd0ba" w:sz="2"/>
          <w:right w:val="single" w:color="ddd0ba" w:sz="2"/>
          <w:insideH w:val="single" w:color="ddd0ba" w:sz="1"/>
          <w:insideV w:val="single" w:color="ddd0ba" w:sz="1"/>
        </w:tblBorders>
      </w:tblPr>
      <w:tblGrid>
        <w:gridCol w:w="100"/>
        <w:gridCol w:w="100"/>
      </w:tblGrid>
      <w:tr>
        <w:tc>
          <w:tcPr>
            <w:tcW w:type="pct" w:w="22%"/>
            <w:shd w:fill="1c3a5e" w:val="clear"/>
            <w:tcMar>
              <w:top w:type="dxa" w:w="80"/>
              <w:left w:type="dxa" w:w="120"/>
              <w:bottom w:type="dxa" w:w="80"/>
              <w:right w:type="dxa" w:w="120"/>
            </w:tcMar>
          </w:tcPr>
          <w:p>
            <w:r>
              <w:rPr>
                <w:b/>
                <w:bCs/>
                <w:color w:val="FFFFFF"/>
                <w:sz w:val="20"/>
                <w:szCs w:val="20"/>
              </w:rPr>
              <w:t xml:space="preserve">Acteur</w:t>
            </w:r>
          </w:p>
        </w:tc>
        <w:tc>
          <w:tcPr>
            <w:tcW w:type="pct" w:w="78%"/>
            <w:shd w:fill="1c3a5e" w:val="clear"/>
            <w:tcMar>
              <w:top w:type="dxa" w:w="80"/>
              <w:left w:type="dxa" w:w="120"/>
              <w:bottom w:type="dxa" w:w="80"/>
              <w:right w:type="dxa" w:w="120"/>
            </w:tcMar>
          </w:tcPr>
          <w:p>
            <w:r>
              <w:rPr>
                <w:b/>
                <w:bCs/>
                <w:color w:val="FFFFFF"/>
                <w:sz w:val="20"/>
                <w:szCs w:val="20"/>
              </w:rPr>
              <w:t xml:space="preserve">Rôle et périmètre</w:t>
            </w:r>
          </w:p>
        </w:tc>
      </w:tr>
      <w:tr>
        <w:tc>
          <w:tcPr>
            <w:tcW w:type="pct" w:w="22%"/>
            <w:tcMar>
              <w:top w:type="dxa" w:w="80"/>
              <w:left w:type="dxa" w:w="120"/>
              <w:bottom w:type="dxa" w:w="80"/>
              <w:right w:type="dxa" w:w="120"/>
            </w:tcMar>
          </w:tcPr>
          <w:p>
            <w:r>
              <w:rPr>
                <w:b w:val="false"/>
                <w:bCs w:val="false"/>
                <w:color w:val="2b2620"/>
                <w:sz w:val="20"/>
                <w:szCs w:val="20"/>
              </w:rPr>
              <w:t xml:space="preserve">Parent</w:t>
            </w:r>
          </w:p>
        </w:tc>
        <w:tc>
          <w:tcPr>
            <w:tcW w:type="pct" w:w="78%"/>
            <w:tcMar>
              <w:top w:type="dxa" w:w="80"/>
              <w:left w:type="dxa" w:w="120"/>
              <w:bottom w:type="dxa" w:w="80"/>
              <w:right w:type="dxa" w:w="120"/>
            </w:tcMar>
          </w:tcPr>
          <w:p>
            <w:r>
              <w:rPr>
                <w:b w:val="false"/>
                <w:bCs w:val="false"/>
                <w:color w:val="2b2620"/>
                <w:sz w:val="20"/>
                <w:szCs w:val="20"/>
              </w:rPr>
              <w:t xml:space="preserve">Crée et supervise les profils adolescents rattachés à son compte, consulte le tableau de bord familial, gère la boîte à outils parentale et réserve des téléconsultations.</w:t>
            </w:r>
          </w:p>
        </w:tc>
      </w:tr>
      <w:tr>
        <w:tc>
          <w:tcPr>
            <w:tcW w:type="pct" w:w="22%"/>
            <w:tcMar>
              <w:top w:type="dxa" w:w="80"/>
              <w:left w:type="dxa" w:w="120"/>
              <w:bottom w:type="dxa" w:w="80"/>
              <w:right w:type="dxa" w:w="120"/>
            </w:tcMar>
          </w:tcPr>
          <w:p>
            <w:r>
              <w:rPr>
                <w:b w:val="false"/>
                <w:bCs w:val="false"/>
                <w:color w:val="2b2620"/>
                <w:sz w:val="20"/>
                <w:szCs w:val="20"/>
              </w:rPr>
              <w:t xml:space="preserve">Adolescent</w:t>
            </w:r>
          </w:p>
        </w:tc>
        <w:tc>
          <w:tcPr>
            <w:tcW w:type="pct" w:w="78%"/>
            <w:tcMar>
              <w:top w:type="dxa" w:w="80"/>
              <w:left w:type="dxa" w:w="120"/>
              <w:bottom w:type="dxa" w:w="80"/>
              <w:right w:type="dxa" w:w="120"/>
            </w:tcMar>
          </w:tcPr>
          <w:p>
            <w:r>
              <w:rPr>
                <w:b w:val="false"/>
                <w:bCs w:val="false"/>
                <w:color w:val="2b2620"/>
                <w:sz w:val="20"/>
                <w:szCs w:val="20"/>
              </w:rPr>
              <w:t xml:space="preserve">Réalise son propre questionnaire d'auto-évaluation, consulte ses résultats et les ressources éducatives adaptées à son âge, réserve des téléconsultations.</w:t>
            </w:r>
          </w:p>
        </w:tc>
      </w:tr>
      <w:tr>
        <w:tc>
          <w:tcPr>
            <w:tcW w:type="pct" w:w="22%"/>
            <w:tcMar>
              <w:top w:type="dxa" w:w="80"/>
              <w:left w:type="dxa" w:w="120"/>
              <w:bottom w:type="dxa" w:w="80"/>
              <w:right w:type="dxa" w:w="120"/>
            </w:tcMar>
          </w:tcPr>
          <w:p>
            <w:r>
              <w:rPr>
                <w:b w:val="false"/>
                <w:bCs w:val="false"/>
                <w:color w:val="2b2620"/>
                <w:sz w:val="20"/>
                <w:szCs w:val="20"/>
              </w:rPr>
              <w:t xml:space="preserve">Spécialiste</w:t>
            </w:r>
          </w:p>
        </w:tc>
        <w:tc>
          <w:tcPr>
            <w:tcW w:type="pct" w:w="78%"/>
            <w:tcMar>
              <w:top w:type="dxa" w:w="80"/>
              <w:left w:type="dxa" w:w="120"/>
              <w:bottom w:type="dxa" w:w="80"/>
              <w:right w:type="dxa" w:w="120"/>
            </w:tcMar>
          </w:tcPr>
          <w:p>
            <w:r>
              <w:rPr>
                <w:b w:val="false"/>
                <w:bCs w:val="false"/>
                <w:color w:val="2b2620"/>
                <w:sz w:val="20"/>
                <w:szCs w:val="20"/>
              </w:rPr>
              <w:t xml:space="preserve">Professionnel de santé consultant son tableau de bord clinique (patients suivis, scores, alertes), échangeant via messagerie chiffrée et assurant les téléconsultations.</w:t>
            </w:r>
          </w:p>
        </w:tc>
      </w:tr>
      <w:tr>
        <w:tc>
          <w:tcPr>
            <w:tcW w:type="pct" w:w="22%"/>
            <w:tcMar>
              <w:top w:type="dxa" w:w="80"/>
              <w:left w:type="dxa" w:w="120"/>
              <w:bottom w:type="dxa" w:w="80"/>
              <w:right w:type="dxa" w:w="120"/>
            </w:tcMar>
          </w:tcPr>
          <w:p>
            <w:r>
              <w:rPr>
                <w:b w:val="false"/>
                <w:bCs w:val="false"/>
                <w:color w:val="2b2620"/>
                <w:sz w:val="20"/>
                <w:szCs w:val="20"/>
              </w:rPr>
              <w:t xml:space="preserve">Administrateur</w:t>
            </w:r>
          </w:p>
        </w:tc>
        <w:tc>
          <w:tcPr>
            <w:tcW w:type="pct" w:w="78%"/>
            <w:tcMar>
              <w:top w:type="dxa" w:w="80"/>
              <w:left w:type="dxa" w:w="120"/>
              <w:bottom w:type="dxa" w:w="80"/>
              <w:right w:type="dxa" w:w="120"/>
            </w:tcMar>
          </w:tcPr>
          <w:p>
            <w:r>
              <w:rPr>
                <w:b w:val="false"/>
                <w:bCs w:val="false"/>
                <w:color w:val="2b2620"/>
                <w:sz w:val="20"/>
                <w:szCs w:val="20"/>
              </w:rPr>
              <w:t xml:space="preserve">Gère l'ensemble des comptes utilisateurs (création, modification, désactivation, suppression) et supervise le fonctionnement global de la plateforme.</w:t>
            </w:r>
          </w:p>
        </w:tc>
      </w:tr>
    </w:tbl>
    <w:p>
      <w:pPr>
        <w:pStyle w:val="Heading2"/>
        <w:spacing w:after="150" w:before="300"/>
      </w:pPr>
      <w:r>
        <w:rPr>
          <w:color w:val="0d7a6f"/>
        </w:rPr>
        <w:t xml:space="preserve">2.2 Besoins fonctionnels</w:t>
      </w:r>
    </w:p>
    <w:p>
      <w:pPr>
        <w:spacing w:after="160" w:line="276"/>
        <w:jc w:val="both"/>
      </w:pPr>
      <w:r>
        <w:t xml:space="preserve">Les besoins fonctionnels ont été regroupés en six modules, correspondant chacun à un domaine métier autonome :</w:t>
      </w:r>
    </w:p>
    <w:p>
      <w:pPr>
        <w:pStyle w:val="Heading3"/>
        <w:spacing w:after="100" w:before="220"/>
      </w:pPr>
      <w:r>
        <w:rPr>
          <w:b/>
          <w:bCs/>
        </w:rPr>
        <w:t xml:space="preserve">Module Authentification</w:t>
      </w:r>
    </w:p>
    <w:p>
      <w:pPr>
        <w:pStyle w:val="ListParagraph"/>
        <w:numPr>
          <w:ilvl w:val="0"/>
          <w:numId w:val="1"/>
        </w:numPr>
        <w:spacing w:after="90"/>
      </w:pPr>
      <w:r>
        <w:t xml:space="preserve">Inscription et connexion différenciées par rôle, avec vérification d'adresse e-mail obligatoire pour les rôles parent et adolescent ;</w:t>
      </w:r>
    </w:p>
    <w:p>
      <w:pPr>
        <w:pStyle w:val="ListParagraph"/>
        <w:numPr>
          <w:ilvl w:val="0"/>
          <w:numId w:val="1"/>
        </w:numPr>
        <w:spacing w:after="90"/>
      </w:pPr>
      <w:r>
        <w:t xml:space="preserve">Authentification à double facteur (MFA) obligatoire pour les rôles spécialiste et administrateur ;</w:t>
      </w:r>
    </w:p>
    <w:p>
      <w:pPr>
        <w:pStyle w:val="ListParagraph"/>
        <w:numPr>
          <w:ilvl w:val="0"/>
          <w:numId w:val="1"/>
        </w:numPr>
        <w:spacing w:after="90"/>
      </w:pPr>
      <w:r>
        <w:t xml:space="preserve">Réinitialisation de mot de passe sécurisée, gestion du profil, déconnexion invalidant la session serveur.</w:t>
      </w:r>
    </w:p>
    <w:p>
      <w:pPr>
        <w:pStyle w:val="Heading3"/>
        <w:spacing w:after="100" w:before="220"/>
      </w:pPr>
      <w:r>
        <w:rPr>
          <w:b/>
          <w:bCs/>
        </w:rPr>
        <w:t xml:space="preserve">Module Suivi &amp; Évaluation</w:t>
      </w:r>
    </w:p>
    <w:p>
      <w:pPr>
        <w:pStyle w:val="ListParagraph"/>
        <w:numPr>
          <w:ilvl w:val="0"/>
          <w:numId w:val="1"/>
        </w:numPr>
        <w:spacing w:after="90"/>
      </w:pPr>
      <w:r>
        <w:t xml:space="preserve">Catalogue de questionnaires adapté à la tranche d'âge, session de réponse persistée et reprise possible ;</w:t>
      </w:r>
    </w:p>
    <w:p>
      <w:pPr>
        <w:pStyle w:val="ListParagraph"/>
        <w:numPr>
          <w:ilvl w:val="0"/>
          <w:numId w:val="1"/>
        </w:numPr>
        <w:spacing w:after="90"/>
      </w:pPr>
      <w:r>
        <w:t xml:space="preserve">Calcul automatique du score global et des sous-scores à la complétion du questionnaire ;</w:t>
      </w:r>
    </w:p>
    <w:p>
      <w:pPr>
        <w:pStyle w:val="ListParagraph"/>
        <w:numPr>
          <w:ilvl w:val="0"/>
          <w:numId w:val="1"/>
        </w:numPr>
        <w:spacing w:after="90"/>
      </w:pPr>
      <w:r>
        <w:t xml:space="preserve">Génération de recommandations personnalisées et d'alertes de risque.</w:t>
      </w:r>
    </w:p>
    <w:p>
      <w:pPr>
        <w:pStyle w:val="Heading3"/>
        <w:spacing w:after="100" w:before="220"/>
      </w:pPr>
      <w:r>
        <w:rPr>
          <w:b/>
          <w:bCs/>
        </w:rPr>
        <w:t xml:space="preserve">Module Famille</w:t>
      </w:r>
    </w:p>
    <w:p>
      <w:pPr>
        <w:pStyle w:val="ListParagraph"/>
        <w:numPr>
          <w:ilvl w:val="0"/>
          <w:numId w:val="1"/>
        </w:numPr>
        <w:spacing w:after="90"/>
      </w:pPr>
      <w:r>
        <w:t xml:space="preserve">Ajout d'un profil adolescent par le parent, avec consentement explicite obligatoire ;</w:t>
      </w:r>
    </w:p>
    <w:p>
      <w:pPr>
        <w:pStyle w:val="ListParagraph"/>
        <w:numPr>
          <w:ilvl w:val="0"/>
          <w:numId w:val="1"/>
        </w:numPr>
        <w:spacing w:after="90"/>
      </w:pPr>
      <w:r>
        <w:t xml:space="preserve">Tableau de bord consolidé multi-enfants, historique de scores, export PDF du rapport.</w:t>
      </w:r>
    </w:p>
    <w:p>
      <w:pPr>
        <w:pStyle w:val="Heading3"/>
        <w:spacing w:after="100" w:before="220"/>
      </w:pPr>
      <w:r>
        <w:rPr>
          <w:b/>
          <w:bCs/>
        </w:rPr>
        <w:t xml:space="preserve">Module Éducation</w:t>
      </w:r>
    </w:p>
    <w:p>
      <w:pPr>
        <w:pStyle w:val="ListParagraph"/>
        <w:numPr>
          <w:ilvl w:val="0"/>
          <w:numId w:val="1"/>
        </w:numPr>
        <w:spacing w:after="90"/>
      </w:pPr>
      <w:r>
        <w:t xml:space="preserve">Bibliothèque de ressources filtrable par âge, type et thématique ;</w:t>
      </w:r>
    </w:p>
    <w:p>
      <w:pPr>
        <w:pStyle w:val="ListParagraph"/>
        <w:numPr>
          <w:ilvl w:val="0"/>
          <w:numId w:val="1"/>
        </w:numPr>
        <w:spacing w:after="90"/>
      </w:pPr>
      <w:r>
        <w:t xml:space="preserve">Parcours e-learning gamifiés avec suivi de progression et badges ;</w:t>
      </w:r>
    </w:p>
    <w:p>
      <w:pPr>
        <w:pStyle w:val="ListParagraph"/>
        <w:numPr>
          <w:ilvl w:val="0"/>
          <w:numId w:val="1"/>
        </w:numPr>
        <w:spacing w:after="90"/>
      </w:pPr>
      <w:r>
        <w:t xml:space="preserve">Boîte à outils parentale (contrats numériques, plannings d'activités) et newsletter personnalisée.</w:t>
      </w:r>
    </w:p>
    <w:p>
      <w:pPr>
        <w:pStyle w:val="Heading3"/>
        <w:spacing w:after="100" w:before="220"/>
      </w:pPr>
      <w:r>
        <w:rPr>
          <w:b/>
          <w:bCs/>
        </w:rPr>
        <w:t xml:space="preserve">Module Téléconsultation</w:t>
      </w:r>
    </w:p>
    <w:p>
      <w:pPr>
        <w:pStyle w:val="ListParagraph"/>
        <w:numPr>
          <w:ilvl w:val="0"/>
          <w:numId w:val="1"/>
        </w:numPr>
        <w:spacing w:after="90"/>
      </w:pPr>
      <w:r>
        <w:t xml:space="preserve">Annuaire de spécialistes filtrable, consultation des créneaux disponibles calculés dynamiquement ;</w:t>
      </w:r>
    </w:p>
    <w:p>
      <w:pPr>
        <w:pStyle w:val="ListParagraph"/>
        <w:numPr>
          <w:ilvl w:val="0"/>
          <w:numId w:val="1"/>
        </w:numPr>
        <w:spacing w:after="90"/>
      </w:pPr>
      <w:r>
        <w:t xml:space="preserve">Réservation, annulation et déplacement de rendez-vous avec prévention des doubles réservations ;</w:t>
      </w:r>
    </w:p>
    <w:p>
      <w:pPr>
        <w:pStyle w:val="ListParagraph"/>
        <w:numPr>
          <w:ilvl w:val="0"/>
          <w:numId w:val="1"/>
        </w:numPr>
        <w:spacing w:after="90"/>
      </w:pPr>
      <w:r>
        <w:t xml:space="preserve">Salle d'attente virtuelle, messagerie chiffrée de bout en bout, partage volontaire du bilan par le patient.</w:t>
      </w:r>
    </w:p>
    <w:p>
      <w:pPr>
        <w:pStyle w:val="Heading3"/>
        <w:spacing w:after="100" w:before="220"/>
      </w:pPr>
      <w:r>
        <w:rPr>
          <w:b/>
          <w:bCs/>
        </w:rPr>
        <w:t xml:space="preserve">Module Administration</w:t>
      </w:r>
    </w:p>
    <w:p>
      <w:pPr>
        <w:pStyle w:val="ListParagraph"/>
        <w:numPr>
          <w:ilvl w:val="0"/>
          <w:numId w:val="1"/>
        </w:numPr>
        <w:spacing w:after="90"/>
      </w:pPr>
      <w:r>
        <w:t xml:space="preserve">Gestion complète des comptes (création, modification, activation/désactivation, suppression avec cascade sur les données liées) ;</w:t>
      </w:r>
    </w:p>
    <w:p>
      <w:pPr>
        <w:pStyle w:val="ListParagraph"/>
        <w:numPr>
          <w:ilvl w:val="0"/>
          <w:numId w:val="1"/>
        </w:numPr>
        <w:spacing w:after="90"/>
      </w:pPr>
      <w:r>
        <w:t xml:space="preserve">Export des comptes (Excel, Word, PDF) et file de modération.</w:t>
      </w:r>
    </w:p>
    <w:p>
      <w:pPr>
        <w:pStyle w:val="Heading2"/>
        <w:spacing w:after="150" w:before="300"/>
      </w:pPr>
      <w:r>
        <w:rPr>
          <w:color w:val="0d7a6f"/>
        </w:rPr>
        <w:t xml:space="preserve">2.3 Besoins non fonctionnels</w:t>
      </w:r>
    </w:p>
    <w:tbl>
      <w:tblPr>
        <w:tblW w:type="pct" w:w="100%"/>
        <w:tblBorders>
          <w:top w:val="single" w:color="ddd0ba" w:sz="2"/>
          <w:left w:val="single" w:color="ddd0ba" w:sz="2"/>
          <w:bottom w:val="single" w:color="ddd0ba" w:sz="2"/>
          <w:right w:val="single" w:color="ddd0ba" w:sz="2"/>
          <w:insideH w:val="single" w:color="ddd0ba" w:sz="1"/>
          <w:insideV w:val="single" w:color="ddd0ba" w:sz="1"/>
        </w:tblBorders>
      </w:tblPr>
      <w:tblGrid>
        <w:gridCol w:w="100"/>
        <w:gridCol w:w="100"/>
      </w:tblGrid>
      <w:tr>
        <w:tc>
          <w:tcPr>
            <w:tcW w:type="pct" w:w="22%"/>
            <w:shd w:fill="1c3a5e" w:val="clear"/>
            <w:tcMar>
              <w:top w:type="dxa" w:w="80"/>
              <w:left w:type="dxa" w:w="120"/>
              <w:bottom w:type="dxa" w:w="80"/>
              <w:right w:type="dxa" w:w="120"/>
            </w:tcMar>
          </w:tcPr>
          <w:p>
            <w:r>
              <w:rPr>
                <w:b/>
                <w:bCs/>
                <w:color w:val="FFFFFF"/>
                <w:sz w:val="20"/>
                <w:szCs w:val="20"/>
              </w:rPr>
              <w:t xml:space="preserve">Exigence</w:t>
            </w:r>
          </w:p>
        </w:tc>
        <w:tc>
          <w:tcPr>
            <w:tcW w:type="pct" w:w="78%"/>
            <w:shd w:fill="1c3a5e" w:val="clear"/>
            <w:tcMar>
              <w:top w:type="dxa" w:w="80"/>
              <w:left w:type="dxa" w:w="120"/>
              <w:bottom w:type="dxa" w:w="80"/>
              <w:right w:type="dxa" w:w="120"/>
            </w:tcMar>
          </w:tcPr>
          <w:p>
            <w:r>
              <w:rPr>
                <w:b/>
                <w:bCs/>
                <w:color w:val="FFFFFF"/>
                <w:sz w:val="20"/>
                <w:szCs w:val="20"/>
              </w:rPr>
              <w:t xml:space="preserve">Description</w:t>
            </w:r>
          </w:p>
        </w:tc>
      </w:tr>
      <w:tr>
        <w:tc>
          <w:tcPr>
            <w:tcW w:type="pct" w:w="22%"/>
            <w:tcMar>
              <w:top w:type="dxa" w:w="80"/>
              <w:left w:type="dxa" w:w="120"/>
              <w:bottom w:type="dxa" w:w="80"/>
              <w:right w:type="dxa" w:w="120"/>
            </w:tcMar>
          </w:tcPr>
          <w:p>
            <w:r>
              <w:rPr>
                <w:b w:val="false"/>
                <w:bCs w:val="false"/>
                <w:color w:val="2b2620"/>
                <w:sz w:val="20"/>
                <w:szCs w:val="20"/>
              </w:rPr>
              <w:t xml:space="preserve">Sécurité</w:t>
            </w:r>
          </w:p>
        </w:tc>
        <w:tc>
          <w:tcPr>
            <w:tcW w:type="pct" w:w="78%"/>
            <w:tcMar>
              <w:top w:type="dxa" w:w="80"/>
              <w:left w:type="dxa" w:w="120"/>
              <w:bottom w:type="dxa" w:w="80"/>
              <w:right w:type="dxa" w:w="120"/>
            </w:tcMar>
          </w:tcPr>
          <w:p>
            <w:r>
              <w:rPr>
                <w:b w:val="false"/>
                <w:bCs w:val="false"/>
                <w:color w:val="2b2620"/>
                <w:sz w:val="20"/>
                <w:szCs w:val="20"/>
              </w:rPr>
              <w:t xml:space="preserve">Authentification JWT à double jeton (accès/rafraîchissement), hachage bcrypt des mots de passe, chiffrement AES-256-GCM de la messagerie, contrôle d'accès strict par rôle (RBAC) vérifié côté serveur sur chaque route sensible.</w:t>
            </w:r>
          </w:p>
        </w:tc>
      </w:tr>
      <w:tr>
        <w:tc>
          <w:tcPr>
            <w:tcW w:type="pct" w:w="22%"/>
            <w:tcMar>
              <w:top w:type="dxa" w:w="80"/>
              <w:left w:type="dxa" w:w="120"/>
              <w:bottom w:type="dxa" w:w="80"/>
              <w:right w:type="dxa" w:w="120"/>
            </w:tcMar>
          </w:tcPr>
          <w:p>
            <w:r>
              <w:rPr>
                <w:b w:val="false"/>
                <w:bCs w:val="false"/>
                <w:color w:val="2b2620"/>
                <w:sz w:val="20"/>
                <w:szCs w:val="20"/>
              </w:rPr>
              <w:t xml:space="preserve">Confidentialité</w:t>
            </w:r>
          </w:p>
        </w:tc>
        <w:tc>
          <w:tcPr>
            <w:tcW w:type="pct" w:w="78%"/>
            <w:tcMar>
              <w:top w:type="dxa" w:w="80"/>
              <w:left w:type="dxa" w:w="120"/>
              <w:bottom w:type="dxa" w:w="80"/>
              <w:right w:type="dxa" w:w="120"/>
            </w:tcMar>
          </w:tcPr>
          <w:p>
            <w:r>
              <w:rPr>
                <w:b w:val="false"/>
                <w:bCs w:val="false"/>
                <w:color w:val="2b2620"/>
                <w:sz w:val="20"/>
                <w:szCs w:val="20"/>
              </w:rPr>
              <w:t xml:space="preserve">Séparation stricte des données entre familles : un parent ne peut jamais accéder aux données d'un enfant qui ne lui est pas rattaché ; un spécialiste ne voit que les patients avec lesquels il a un rendez-vous.</w:t>
            </w:r>
          </w:p>
        </w:tc>
      </w:tr>
      <w:tr>
        <w:tc>
          <w:tcPr>
            <w:tcW w:type="pct" w:w="22%"/>
            <w:tcMar>
              <w:top w:type="dxa" w:w="80"/>
              <w:left w:type="dxa" w:w="120"/>
              <w:bottom w:type="dxa" w:w="80"/>
              <w:right w:type="dxa" w:w="120"/>
            </w:tcMar>
          </w:tcPr>
          <w:p>
            <w:r>
              <w:rPr>
                <w:b w:val="false"/>
                <w:bCs w:val="false"/>
                <w:color w:val="2b2620"/>
                <w:sz w:val="20"/>
                <w:szCs w:val="20"/>
              </w:rPr>
              <w:t xml:space="preserve">Fiabilité</w:t>
            </w:r>
          </w:p>
        </w:tc>
        <w:tc>
          <w:tcPr>
            <w:tcW w:type="pct" w:w="78%"/>
            <w:tcMar>
              <w:top w:type="dxa" w:w="80"/>
              <w:left w:type="dxa" w:w="120"/>
              <w:bottom w:type="dxa" w:w="80"/>
              <w:right w:type="dxa" w:w="120"/>
            </w:tcMar>
          </w:tcPr>
          <w:p>
            <w:r>
              <w:rPr>
                <w:b w:val="false"/>
                <w:bCs w:val="false"/>
                <w:color w:val="2b2620"/>
                <w:sz w:val="20"/>
                <w:szCs w:val="20"/>
              </w:rPr>
              <w:t xml:space="preserve">Prévention des incohérences de données (doubles réservations, suppression en cascade pour éviter les références orphelines).</w:t>
            </w:r>
          </w:p>
        </w:tc>
      </w:tr>
      <w:tr>
        <w:tc>
          <w:tcPr>
            <w:tcW w:type="pct" w:w="22%"/>
            <w:tcMar>
              <w:top w:type="dxa" w:w="80"/>
              <w:left w:type="dxa" w:w="120"/>
              <w:bottom w:type="dxa" w:w="80"/>
              <w:right w:type="dxa" w:w="120"/>
            </w:tcMar>
          </w:tcPr>
          <w:p>
            <w:r>
              <w:rPr>
                <w:b w:val="false"/>
                <w:bCs w:val="false"/>
                <w:color w:val="2b2620"/>
                <w:sz w:val="20"/>
                <w:szCs w:val="20"/>
              </w:rPr>
              <w:t xml:space="preserve">Ergonomie</w:t>
            </w:r>
          </w:p>
        </w:tc>
        <w:tc>
          <w:tcPr>
            <w:tcW w:type="pct" w:w="78%"/>
            <w:tcMar>
              <w:top w:type="dxa" w:w="80"/>
              <w:left w:type="dxa" w:w="120"/>
              <w:bottom w:type="dxa" w:w="80"/>
              <w:right w:type="dxa" w:w="120"/>
            </w:tcMar>
          </w:tcPr>
          <w:p>
            <w:r>
              <w:rPr>
                <w:b w:val="false"/>
                <w:bCs w:val="false"/>
                <w:color w:val="2b2620"/>
                <w:sz w:val="20"/>
                <w:szCs w:val="20"/>
              </w:rPr>
              <w:t xml:space="preserve">Interface responsive, cohérente visuellement sur l'ensemble des modules, adaptée à un usage familial (parents et adolescents).</w:t>
            </w:r>
          </w:p>
        </w:tc>
      </w:tr>
      <w:tr>
        <w:tc>
          <w:tcPr>
            <w:tcW w:type="pct" w:w="22%"/>
            <w:tcMar>
              <w:top w:type="dxa" w:w="80"/>
              <w:left w:type="dxa" w:w="120"/>
              <w:bottom w:type="dxa" w:w="80"/>
              <w:right w:type="dxa" w:w="120"/>
            </w:tcMar>
          </w:tcPr>
          <w:p>
            <w:r>
              <w:rPr>
                <w:b w:val="false"/>
                <w:bCs w:val="false"/>
                <w:color w:val="2b2620"/>
                <w:sz w:val="20"/>
                <w:szCs w:val="20"/>
              </w:rPr>
              <w:t xml:space="preserve">Performance</w:t>
            </w:r>
          </w:p>
        </w:tc>
        <w:tc>
          <w:tcPr>
            <w:tcW w:type="pct" w:w="78%"/>
            <w:tcMar>
              <w:top w:type="dxa" w:w="80"/>
              <w:left w:type="dxa" w:w="120"/>
              <w:bottom w:type="dxa" w:w="80"/>
              <w:right w:type="dxa" w:w="120"/>
            </w:tcMar>
          </w:tcPr>
          <w:p>
            <w:r>
              <w:rPr>
                <w:b w:val="false"/>
                <w:bCs w:val="false"/>
                <w:color w:val="2b2620"/>
                <w:sz w:val="20"/>
                <w:szCs w:val="20"/>
              </w:rPr>
              <w:t xml:space="preserve">Calcul des créneaux de disponibilité et des scores en temps réel, sans traitement différé.</w:t>
            </w:r>
          </w:p>
        </w:tc>
      </w:tr>
    </w:tbl>
    <w:p>
      <w:pPr>
        <w:pStyle w:val="Heading2"/>
        <w:spacing w:after="150" w:before="300"/>
      </w:pPr>
      <w:r>
        <w:rPr>
          <w:color w:val="0d7a6f"/>
        </w:rPr>
        <w:t xml:space="preserve">2.4 Diagramme de cas d'utilisation</w:t>
      </w:r>
    </w:p>
    <w:p>
      <w:pPr>
        <w:spacing w:after="160" w:line="276"/>
        <w:jc w:val="both"/>
      </w:pPr>
      <w:r>
        <w:t xml:space="preserve">Le diagramme de cas d'utilisation ci-dessous synthétise les interactions entre les quatre acteurs et les 24 cas d'utilisation identifiés, organisés par module. Deux relations «include» sont modélisées : la réservation et le déplacement d'un rendez-vous déclenchent systématiquement la consultation des créneaux disponibles.</w:t>
      </w:r>
    </w:p>
    <w:tbl>
      <w:tblPr>
        <w:tblW w:type="pct" w:w="100%"/>
        <w:tblBorders>
          <w:top w:val="single" w:color="ddd0ba" w:sz="2"/>
          <w:left w:val="single" w:color="ddd0ba" w:sz="2"/>
          <w:bottom w:val="single" w:color="ddd0ba" w:sz="2"/>
          <w:right w:val="single" w:color="ddd0ba" w:sz="2"/>
          <w:insideH w:val="single" w:color="ddd0ba" w:sz="1"/>
          <w:insideV w:val="single" w:color="ddd0ba" w:sz="1"/>
        </w:tblBorders>
      </w:tblPr>
      <w:tblGrid>
        <w:gridCol w:w="100"/>
        <w:gridCol w:w="100"/>
        <w:gridCol w:w="100"/>
      </w:tblGrid>
      <w:tr>
        <w:tc>
          <w:tcPr>
            <w:tcW w:type="pct" w:w="18%"/>
            <w:shd w:fill="1c3a5e" w:val="clear"/>
            <w:tcMar>
              <w:top w:type="dxa" w:w="80"/>
              <w:left w:type="dxa" w:w="120"/>
              <w:bottom w:type="dxa" w:w="80"/>
              <w:right w:type="dxa" w:w="120"/>
            </w:tcMar>
          </w:tcPr>
          <w:p>
            <w:r>
              <w:rPr>
                <w:b/>
                <w:bCs/>
                <w:color w:val="FFFFFF"/>
                <w:sz w:val="20"/>
                <w:szCs w:val="20"/>
              </w:rPr>
              <w:t xml:space="preserve">Module</w:t>
            </w:r>
          </w:p>
        </w:tc>
        <w:tc>
          <w:tcPr>
            <w:tcW w:type="pct" w:w="52%"/>
            <w:shd w:fill="1c3a5e" w:val="clear"/>
            <w:tcMar>
              <w:top w:type="dxa" w:w="80"/>
              <w:left w:type="dxa" w:w="120"/>
              <w:bottom w:type="dxa" w:w="80"/>
              <w:right w:type="dxa" w:w="120"/>
            </w:tcMar>
          </w:tcPr>
          <w:p>
            <w:r>
              <w:rPr>
                <w:b/>
                <w:bCs/>
                <w:color w:val="FFFFFF"/>
                <w:sz w:val="20"/>
                <w:szCs w:val="20"/>
              </w:rPr>
              <w:t xml:space="preserve">Cas d'utilisation</w:t>
            </w:r>
          </w:p>
        </w:tc>
        <w:tc>
          <w:tcPr>
            <w:tcW w:type="pct" w:w="30%"/>
            <w:shd w:fill="1c3a5e" w:val="clear"/>
            <w:tcMar>
              <w:top w:type="dxa" w:w="80"/>
              <w:left w:type="dxa" w:w="120"/>
              <w:bottom w:type="dxa" w:w="80"/>
              <w:right w:type="dxa" w:w="120"/>
            </w:tcMar>
          </w:tcPr>
          <w:p>
            <w:r>
              <w:rPr>
                <w:b/>
                <w:bCs/>
                <w:color w:val="FFFFFF"/>
                <w:sz w:val="20"/>
                <w:szCs w:val="20"/>
              </w:rPr>
              <w:t xml:space="preserve">Acteurs concernés</w:t>
            </w:r>
          </w:p>
        </w:tc>
      </w:tr>
      <w:tr>
        <w:tc>
          <w:tcPr>
            <w:tcW w:type="pct" w:w="18%"/>
            <w:tcMar>
              <w:top w:type="dxa" w:w="80"/>
              <w:left w:type="dxa" w:w="120"/>
              <w:bottom w:type="dxa" w:w="80"/>
              <w:right w:type="dxa" w:w="120"/>
            </w:tcMar>
          </w:tcPr>
          <w:p>
            <w:r>
              <w:rPr>
                <w:b w:val="false"/>
                <w:bCs w:val="false"/>
                <w:color w:val="2b2620"/>
                <w:sz w:val="20"/>
                <w:szCs w:val="20"/>
              </w:rPr>
              <w:t xml:space="preserve">Authentification</w:t>
            </w:r>
          </w:p>
        </w:tc>
        <w:tc>
          <w:tcPr>
            <w:tcW w:type="pct" w:w="52%"/>
            <w:tcMar>
              <w:top w:type="dxa" w:w="80"/>
              <w:left w:type="dxa" w:w="120"/>
              <w:bottom w:type="dxa" w:w="80"/>
              <w:right w:type="dxa" w:w="120"/>
            </w:tcMar>
          </w:tcPr>
          <w:p>
            <w:r>
              <w:rPr>
                <w:b w:val="false"/>
                <w:bCs w:val="false"/>
                <w:color w:val="2b2620"/>
                <w:sz w:val="20"/>
                <w:szCs w:val="20"/>
              </w:rPr>
              <w:t xml:space="preserve">S'inscrire, se connecter, vérifier le code MFA, réinitialiser le mot de passe, gérer son profil, se déconnecter</w:t>
            </w:r>
          </w:p>
        </w:tc>
        <w:tc>
          <w:tcPr>
            <w:tcW w:type="pct" w:w="30%"/>
            <w:tcMar>
              <w:top w:type="dxa" w:w="80"/>
              <w:left w:type="dxa" w:w="120"/>
              <w:bottom w:type="dxa" w:w="80"/>
              <w:right w:type="dxa" w:w="120"/>
            </w:tcMar>
          </w:tcPr>
          <w:p>
            <w:r>
              <w:rPr>
                <w:b w:val="false"/>
                <w:bCs w:val="false"/>
                <w:color w:val="2b2620"/>
                <w:sz w:val="20"/>
                <w:szCs w:val="20"/>
              </w:rPr>
              <w:t xml:space="preserve">Tous les rôles (MFA : Spécialiste et Administrateur uniquement)</w:t>
            </w:r>
          </w:p>
        </w:tc>
      </w:tr>
      <w:tr>
        <w:tc>
          <w:tcPr>
            <w:tcW w:type="pct" w:w="18%"/>
            <w:tcMar>
              <w:top w:type="dxa" w:w="80"/>
              <w:left w:type="dxa" w:w="120"/>
              <w:bottom w:type="dxa" w:w="80"/>
              <w:right w:type="dxa" w:w="120"/>
            </w:tcMar>
          </w:tcPr>
          <w:p>
            <w:r>
              <w:rPr>
                <w:b w:val="false"/>
                <w:bCs w:val="false"/>
                <w:color w:val="2b2620"/>
                <w:sz w:val="20"/>
                <w:szCs w:val="20"/>
              </w:rPr>
              <w:t xml:space="preserve">Suivi &amp; Évaluation</w:t>
            </w:r>
          </w:p>
        </w:tc>
        <w:tc>
          <w:tcPr>
            <w:tcW w:type="pct" w:w="52%"/>
            <w:tcMar>
              <w:top w:type="dxa" w:w="80"/>
              <w:left w:type="dxa" w:w="120"/>
              <w:bottom w:type="dxa" w:w="80"/>
              <w:right w:type="dxa" w:w="120"/>
            </w:tcMar>
          </w:tcPr>
          <w:p>
            <w:r>
              <w:rPr>
                <w:b w:val="false"/>
                <w:bCs w:val="false"/>
                <w:color w:val="2b2620"/>
                <w:sz w:val="20"/>
                <w:szCs w:val="20"/>
              </w:rPr>
              <w:t xml:space="preserve">Répondre au questionnaire, consulter les scores et les conseils du coach</w:t>
            </w:r>
          </w:p>
        </w:tc>
        <w:tc>
          <w:tcPr>
            <w:tcW w:type="pct" w:w="30%"/>
            <w:tcMar>
              <w:top w:type="dxa" w:w="80"/>
              <w:left w:type="dxa" w:w="120"/>
              <w:bottom w:type="dxa" w:w="80"/>
              <w:right w:type="dxa" w:w="120"/>
            </w:tcMar>
          </w:tcPr>
          <w:p>
            <w:r>
              <w:rPr>
                <w:b w:val="false"/>
                <w:bCs w:val="false"/>
                <w:color w:val="2b2620"/>
                <w:sz w:val="20"/>
                <w:szCs w:val="20"/>
              </w:rPr>
              <w:t xml:space="preserve">Parent, Adolescent</w:t>
            </w:r>
          </w:p>
        </w:tc>
      </w:tr>
      <w:tr>
        <w:tc>
          <w:tcPr>
            <w:tcW w:type="pct" w:w="18%"/>
            <w:tcMar>
              <w:top w:type="dxa" w:w="80"/>
              <w:left w:type="dxa" w:w="120"/>
              <w:bottom w:type="dxa" w:w="80"/>
              <w:right w:type="dxa" w:w="120"/>
            </w:tcMar>
          </w:tcPr>
          <w:p>
            <w:r>
              <w:rPr>
                <w:b w:val="false"/>
                <w:bCs w:val="false"/>
                <w:color w:val="2b2620"/>
                <w:sz w:val="20"/>
                <w:szCs w:val="20"/>
              </w:rPr>
              <w:t xml:space="preserve">Famille</w:t>
            </w:r>
          </w:p>
        </w:tc>
        <w:tc>
          <w:tcPr>
            <w:tcW w:type="pct" w:w="52%"/>
            <w:tcMar>
              <w:top w:type="dxa" w:w="80"/>
              <w:left w:type="dxa" w:w="120"/>
              <w:bottom w:type="dxa" w:w="80"/>
              <w:right w:type="dxa" w:w="120"/>
            </w:tcMar>
          </w:tcPr>
          <w:p>
            <w:r>
              <w:rPr>
                <w:b w:val="false"/>
                <w:bCs w:val="false"/>
                <w:color w:val="2b2620"/>
                <w:sz w:val="20"/>
                <w:szCs w:val="20"/>
              </w:rPr>
              <w:t xml:space="preserve">Ajouter un profil adolescent, consulter le tableau de bord famille</w:t>
            </w:r>
          </w:p>
        </w:tc>
        <w:tc>
          <w:tcPr>
            <w:tcW w:type="pct" w:w="30%"/>
            <w:tcMar>
              <w:top w:type="dxa" w:w="80"/>
              <w:left w:type="dxa" w:w="120"/>
              <w:bottom w:type="dxa" w:w="80"/>
              <w:right w:type="dxa" w:w="120"/>
            </w:tcMar>
          </w:tcPr>
          <w:p>
            <w:r>
              <w:rPr>
                <w:b w:val="false"/>
                <w:bCs w:val="false"/>
                <w:color w:val="2b2620"/>
                <w:sz w:val="20"/>
                <w:szCs w:val="20"/>
              </w:rPr>
              <w:t xml:space="preserve">Parent</w:t>
            </w:r>
          </w:p>
        </w:tc>
      </w:tr>
      <w:tr>
        <w:tc>
          <w:tcPr>
            <w:tcW w:type="pct" w:w="18%"/>
            <w:tcMar>
              <w:top w:type="dxa" w:w="80"/>
              <w:left w:type="dxa" w:w="120"/>
              <w:bottom w:type="dxa" w:w="80"/>
              <w:right w:type="dxa" w:w="120"/>
            </w:tcMar>
          </w:tcPr>
          <w:p>
            <w:r>
              <w:rPr>
                <w:b w:val="false"/>
                <w:bCs w:val="false"/>
                <w:color w:val="2b2620"/>
                <w:sz w:val="20"/>
                <w:szCs w:val="20"/>
              </w:rPr>
              <w:t xml:space="preserve">Éducation</w:t>
            </w:r>
          </w:p>
        </w:tc>
        <w:tc>
          <w:tcPr>
            <w:tcW w:type="pct" w:w="52%"/>
            <w:tcMar>
              <w:top w:type="dxa" w:w="80"/>
              <w:left w:type="dxa" w:w="120"/>
              <w:bottom w:type="dxa" w:w="80"/>
              <w:right w:type="dxa" w:w="120"/>
            </w:tcMar>
          </w:tcPr>
          <w:p>
            <w:r>
              <w:rPr>
                <w:b w:val="false"/>
                <w:bCs w:val="false"/>
                <w:color w:val="2b2620"/>
                <w:sz w:val="20"/>
                <w:szCs w:val="20"/>
              </w:rPr>
              <w:t xml:space="preserve">Consulter les ressources, suivre un parcours e-learning, gérer la boîte à outils parentale, générer une newsletter</w:t>
            </w:r>
          </w:p>
        </w:tc>
        <w:tc>
          <w:tcPr>
            <w:tcW w:type="pct" w:w="30%"/>
            <w:tcMar>
              <w:top w:type="dxa" w:w="80"/>
              <w:left w:type="dxa" w:w="120"/>
              <w:bottom w:type="dxa" w:w="80"/>
              <w:right w:type="dxa" w:w="120"/>
            </w:tcMar>
          </w:tcPr>
          <w:p>
            <w:r>
              <w:rPr>
                <w:b w:val="false"/>
                <w:bCs w:val="false"/>
                <w:color w:val="2b2620"/>
                <w:sz w:val="20"/>
                <w:szCs w:val="20"/>
              </w:rPr>
              <w:t xml:space="preserve">Parent, Adolescent</w:t>
            </w:r>
          </w:p>
        </w:tc>
      </w:tr>
      <w:tr>
        <w:tc>
          <w:tcPr>
            <w:tcW w:type="pct" w:w="18%"/>
            <w:tcMar>
              <w:top w:type="dxa" w:w="80"/>
              <w:left w:type="dxa" w:w="120"/>
              <w:bottom w:type="dxa" w:w="80"/>
              <w:right w:type="dxa" w:w="120"/>
            </w:tcMar>
          </w:tcPr>
          <w:p>
            <w:r>
              <w:rPr>
                <w:b w:val="false"/>
                <w:bCs w:val="false"/>
                <w:color w:val="2b2620"/>
                <w:sz w:val="20"/>
                <w:szCs w:val="20"/>
              </w:rPr>
              <w:t xml:space="preserve">Téléconsultation</w:t>
            </w:r>
          </w:p>
        </w:tc>
        <w:tc>
          <w:tcPr>
            <w:tcW w:type="pct" w:w="52%"/>
            <w:tcMar>
              <w:top w:type="dxa" w:w="80"/>
              <w:left w:type="dxa" w:w="120"/>
              <w:bottom w:type="dxa" w:w="80"/>
              <w:right w:type="dxa" w:w="120"/>
            </w:tcMar>
          </w:tcPr>
          <w:p>
            <w:r>
              <w:rPr>
                <w:b w:val="false"/>
                <w:bCs w:val="false"/>
                <w:color w:val="2b2620"/>
                <w:sz w:val="20"/>
                <w:szCs w:val="20"/>
              </w:rPr>
              <w:t xml:space="preserve">Consulter l'annuaire et les créneaux, réserver, annuler, déplacer un rendez-vous, partager le bilan, participer à la consultation</w:t>
            </w:r>
          </w:p>
        </w:tc>
        <w:tc>
          <w:tcPr>
            <w:tcW w:type="pct" w:w="30%"/>
            <w:tcMar>
              <w:top w:type="dxa" w:w="80"/>
              <w:left w:type="dxa" w:w="120"/>
              <w:bottom w:type="dxa" w:w="80"/>
              <w:right w:type="dxa" w:w="120"/>
            </w:tcMar>
          </w:tcPr>
          <w:p>
            <w:r>
              <w:rPr>
                <w:b w:val="false"/>
                <w:bCs w:val="false"/>
                <w:color w:val="2b2620"/>
                <w:sz w:val="20"/>
                <w:szCs w:val="20"/>
              </w:rPr>
              <w:t xml:space="preserve">Parent, Adolescent</w:t>
            </w:r>
          </w:p>
        </w:tc>
      </w:tr>
      <w:tr>
        <w:tc>
          <w:tcPr>
            <w:tcW w:type="pct" w:w="18%"/>
            <w:tcMar>
              <w:top w:type="dxa" w:w="80"/>
              <w:left w:type="dxa" w:w="120"/>
              <w:bottom w:type="dxa" w:w="80"/>
              <w:right w:type="dxa" w:w="120"/>
            </w:tcMar>
          </w:tcPr>
          <w:p>
            <w:r>
              <w:rPr>
                <w:b w:val="false"/>
                <w:bCs w:val="false"/>
                <w:color w:val="2b2620"/>
                <w:sz w:val="20"/>
                <w:szCs w:val="20"/>
              </w:rPr>
              <w:t xml:space="preserve">Téléconsultation</w:t>
            </w:r>
          </w:p>
        </w:tc>
        <w:tc>
          <w:tcPr>
            <w:tcW w:type="pct" w:w="52%"/>
            <w:tcMar>
              <w:top w:type="dxa" w:w="80"/>
              <w:left w:type="dxa" w:w="120"/>
              <w:bottom w:type="dxa" w:w="80"/>
              <w:right w:type="dxa" w:w="120"/>
            </w:tcMar>
          </w:tcPr>
          <w:p>
            <w:r>
              <w:rPr>
                <w:b w:val="false"/>
                <w:bCs w:val="false"/>
                <w:color w:val="2b2620"/>
                <w:sz w:val="20"/>
                <w:szCs w:val="20"/>
              </w:rPr>
              <w:t xml:space="preserve">Consulter le tableau de bord clinique</w:t>
            </w:r>
          </w:p>
        </w:tc>
        <w:tc>
          <w:tcPr>
            <w:tcW w:type="pct" w:w="30%"/>
            <w:tcMar>
              <w:top w:type="dxa" w:w="80"/>
              <w:left w:type="dxa" w:w="120"/>
              <w:bottom w:type="dxa" w:w="80"/>
              <w:right w:type="dxa" w:w="120"/>
            </w:tcMar>
          </w:tcPr>
          <w:p>
            <w:r>
              <w:rPr>
                <w:b w:val="false"/>
                <w:bCs w:val="false"/>
                <w:color w:val="2b2620"/>
                <w:sz w:val="20"/>
                <w:szCs w:val="20"/>
              </w:rPr>
              <w:t xml:space="preserve">Spécialiste</w:t>
            </w:r>
          </w:p>
        </w:tc>
      </w:tr>
      <w:tr>
        <w:tc>
          <w:tcPr>
            <w:tcW w:type="pct" w:w="18%"/>
            <w:tcMar>
              <w:top w:type="dxa" w:w="80"/>
              <w:left w:type="dxa" w:w="120"/>
              <w:bottom w:type="dxa" w:w="80"/>
              <w:right w:type="dxa" w:w="120"/>
            </w:tcMar>
          </w:tcPr>
          <w:p>
            <w:r>
              <w:rPr>
                <w:b w:val="false"/>
                <w:bCs w:val="false"/>
                <w:color w:val="2b2620"/>
                <w:sz w:val="20"/>
                <w:szCs w:val="20"/>
              </w:rPr>
              <w:t xml:space="preserve">Administration</w:t>
            </w:r>
          </w:p>
        </w:tc>
        <w:tc>
          <w:tcPr>
            <w:tcW w:type="pct" w:w="52%"/>
            <w:tcMar>
              <w:top w:type="dxa" w:w="80"/>
              <w:left w:type="dxa" w:w="120"/>
              <w:bottom w:type="dxa" w:w="80"/>
              <w:right w:type="dxa" w:w="120"/>
            </w:tcMar>
          </w:tcPr>
          <w:p>
            <w:r>
              <w:rPr>
                <w:b w:val="false"/>
                <w:bCs w:val="false"/>
                <w:color w:val="2b2620"/>
                <w:sz w:val="20"/>
                <w:szCs w:val="20"/>
              </w:rPr>
              <w:t xml:space="preserve">Gérer les comptes utilisateurs, exporter les comptes, consulter la file de modération</w:t>
            </w:r>
          </w:p>
        </w:tc>
        <w:tc>
          <w:tcPr>
            <w:tcW w:type="pct" w:w="30%"/>
            <w:tcMar>
              <w:top w:type="dxa" w:w="80"/>
              <w:left w:type="dxa" w:w="120"/>
              <w:bottom w:type="dxa" w:w="80"/>
              <w:right w:type="dxa" w:w="120"/>
            </w:tcMar>
          </w:tcPr>
          <w:p>
            <w:r>
              <w:rPr>
                <w:b w:val="false"/>
                <w:bCs w:val="false"/>
                <w:color w:val="2b2620"/>
                <w:sz w:val="20"/>
                <w:szCs w:val="20"/>
              </w:rPr>
              <w:t xml:space="preserve">Administrateur</w:t>
            </w:r>
          </w:p>
        </w:tc>
      </w:tr>
    </w:tbl>
    <w:p>
      <w:pPr>
        <w:spacing w:after="260" w:before="80"/>
        <w:jc w:val="center"/>
      </w:pPr>
      <w:r>
        <w:rPr>
          <w:i/>
          <w:iCs/>
          <w:color w:val="5a5348"/>
          <w:sz w:val="20"/>
          <w:szCs w:val="20"/>
        </w:rPr>
        <w:t xml:space="preserve">Figure 1 — Synthèse du diagramme de cas d'utilisation FamilyBalance (diagramme complet disponible en version interactive, voir annexe A).</w:t>
      </w:r>
    </w:p>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Chapitre 3 — Conception</w:t>
      </w:r>
    </w:p>
    <w:p>
      <w:pPr>
        <w:pStyle w:val="Heading2"/>
        <w:spacing w:after="150" w:before="300"/>
      </w:pPr>
      <w:r>
        <w:rPr>
          <w:color w:val="0d7a6f"/>
        </w:rPr>
        <w:t xml:space="preserve">3.1 Architecture générale</w:t>
      </w:r>
    </w:p>
    <w:p>
      <w:pPr>
        <w:spacing w:after="160" w:line="276"/>
        <w:jc w:val="both"/>
      </w:pPr>
      <w:r>
        <w:t xml:space="preserve">FamilyBalance repose sur une architecture trois tiers classique, adaptée aux applications web modernes :</w:t>
      </w:r>
    </w:p>
    <w:p>
      <w:pPr>
        <w:pStyle w:val="ListParagraph"/>
        <w:numPr>
          <w:ilvl w:val="0"/>
          <w:numId w:val="1"/>
        </w:numPr>
        <w:spacing w:after="90"/>
      </w:pPr>
      <w:r>
        <w:t xml:space="preserve">Couche présentation : application Angular 17 en composants autonomes (standalone components), consommant l'API via des services HTTP typés ;</w:t>
      </w:r>
    </w:p>
    <w:p>
      <w:pPr>
        <w:pStyle w:val="ListParagraph"/>
        <w:numPr>
          <w:ilvl w:val="0"/>
          <w:numId w:val="1"/>
        </w:numPr>
        <w:spacing w:after="90"/>
      </w:pPr>
      <w:r>
        <w:t xml:space="preserve">Couche métier : API REST Node.js / Express, organisée en routes, contrôleurs et services, avec un middleware d'authentification et d'autorisation appliqué de façon systématique ;</w:t>
      </w:r>
    </w:p>
    <w:p>
      <w:pPr>
        <w:pStyle w:val="ListParagraph"/>
        <w:numPr>
          <w:ilvl w:val="0"/>
          <w:numId w:val="1"/>
        </w:numPr>
        <w:spacing w:after="90"/>
      </w:pPr>
      <w:r>
        <w:t xml:space="preserve">Couche de données : base MongoDB, interrogée via l'ODM Mongoose, avec des schémas validés (types, contraintes d'unicité, valeurs énumérées).</w:t>
      </w:r>
    </w:p>
    <w:p>
      <w:pPr>
        <w:spacing w:after="160" w:line="276"/>
        <w:jc w:val="both"/>
      </w:pPr>
      <w:r>
        <w:t xml:space="preserve">La communication entre le frontend et le backend s'effectue exclusivement via des appels HTTPS authentifiés par jeton JWT, transmis dans l'en-tête Authorization. Aucune logique métier ni règle d'autorisation n'est déléguée au client : chaque contrôle de droit d'accès est revérifié côté serveur, y compris lorsque l'interface masque déjà une action à l'utilisateur — principe de défense en profondeur appliqué systématiquement dans ce projet.</w:t>
      </w:r>
    </w:p>
    <w:p>
      <w:pPr>
        <w:pStyle w:val="Heading2"/>
        <w:spacing w:after="150" w:before="300"/>
      </w:pPr>
      <w:r>
        <w:rPr>
          <w:color w:val="0d7a6f"/>
        </w:rPr>
        <w:t xml:space="preserve">3.2 Modèle de données — diagramme de classes</w:t>
      </w:r>
    </w:p>
    <w:p>
      <w:pPr>
        <w:spacing w:after="160" w:line="276"/>
        <w:jc w:val="both"/>
      </w:pPr>
      <w:r>
        <w:t xml:space="preserve">Le modèle de données comprend quinze classes principales, organisées en quatre zones fonctionnelles. La classe User constitue l'entité centrale du système ; les profils spécialiste et adolescent lui sont rattachés par composition (sous-documents Mongoose intégrés, et non des collections séparées).</w:t>
      </w:r>
    </w:p>
    <w:tbl>
      <w:tblPr>
        <w:tblW w:type="pct" w:w="100%"/>
        <w:tblBorders>
          <w:top w:val="single" w:color="ddd0ba" w:sz="2"/>
          <w:left w:val="single" w:color="ddd0ba" w:sz="2"/>
          <w:bottom w:val="single" w:color="ddd0ba" w:sz="2"/>
          <w:right w:val="single" w:color="ddd0ba" w:sz="2"/>
          <w:insideH w:val="single" w:color="ddd0ba" w:sz="1"/>
          <w:insideV w:val="single" w:color="ddd0ba" w:sz="1"/>
        </w:tblBorders>
      </w:tblPr>
      <w:tblGrid>
        <w:gridCol w:w="100"/>
        <w:gridCol w:w="100"/>
        <w:gridCol w:w="100"/>
      </w:tblGrid>
      <w:tr>
        <w:tc>
          <w:tcPr>
            <w:tcW w:type="pct" w:w="30%"/>
            <w:shd w:fill="1c3a5e" w:val="clear"/>
            <w:tcMar>
              <w:top w:type="dxa" w:w="80"/>
              <w:left w:type="dxa" w:w="120"/>
              <w:bottom w:type="dxa" w:w="80"/>
              <w:right w:type="dxa" w:w="120"/>
            </w:tcMar>
          </w:tcPr>
          <w:p>
            <w:r>
              <w:rPr>
                <w:b/>
                <w:bCs/>
                <w:color w:val="FFFFFF"/>
                <w:sz w:val="20"/>
                <w:szCs w:val="20"/>
              </w:rPr>
              <w:t xml:space="preserve">Classe</w:t>
            </w:r>
          </w:p>
        </w:tc>
        <w:tc>
          <w:tcPr>
            <w:tcW w:type="pct" w:w="20%"/>
            <w:shd w:fill="1c3a5e" w:val="clear"/>
            <w:tcMar>
              <w:top w:type="dxa" w:w="80"/>
              <w:left w:type="dxa" w:w="120"/>
              <w:bottom w:type="dxa" w:w="80"/>
              <w:right w:type="dxa" w:w="120"/>
            </w:tcMar>
          </w:tcPr>
          <w:p>
            <w:r>
              <w:rPr>
                <w:b/>
                <w:bCs/>
                <w:color w:val="FFFFFF"/>
                <w:sz w:val="20"/>
                <w:szCs w:val="20"/>
              </w:rPr>
              <w:t xml:space="preserve">Zone</w:t>
            </w:r>
          </w:p>
        </w:tc>
        <w:tc>
          <w:tcPr>
            <w:tcW w:type="pct" w:w="50%"/>
            <w:shd w:fill="1c3a5e" w:val="clear"/>
            <w:tcMar>
              <w:top w:type="dxa" w:w="80"/>
              <w:left w:type="dxa" w:w="120"/>
              <w:bottom w:type="dxa" w:w="80"/>
              <w:right w:type="dxa" w:w="120"/>
            </w:tcMar>
          </w:tcPr>
          <w:p>
            <w:r>
              <w:rPr>
                <w:b/>
                <w:bCs/>
                <w:color w:val="FFFFFF"/>
                <w:sz w:val="20"/>
                <w:szCs w:val="20"/>
              </w:rPr>
              <w:t xml:space="preserve">Rôle</w:t>
            </w:r>
          </w:p>
        </w:tc>
      </w:tr>
      <w:tr>
        <w:tc>
          <w:tcPr>
            <w:tcW w:type="pct" w:w="30%"/>
            <w:tcMar>
              <w:top w:type="dxa" w:w="80"/>
              <w:left w:type="dxa" w:w="120"/>
              <w:bottom w:type="dxa" w:w="80"/>
              <w:right w:type="dxa" w:w="120"/>
            </w:tcMar>
          </w:tcPr>
          <w:p>
            <w:r>
              <w:rPr>
                <w:b w:val="false"/>
                <w:bCs w:val="false"/>
                <w:color w:val="2b2620"/>
                <w:sz w:val="20"/>
                <w:szCs w:val="20"/>
              </w:rPr>
              <w:t xml:space="preserve">User</w:t>
            </w:r>
          </w:p>
        </w:tc>
        <w:tc>
          <w:tcPr>
            <w:tcW w:type="pct" w:w="20%"/>
            <w:tcMar>
              <w:top w:type="dxa" w:w="80"/>
              <w:left w:type="dxa" w:w="120"/>
              <w:bottom w:type="dxa" w:w="80"/>
              <w:right w:type="dxa" w:w="120"/>
            </w:tcMar>
          </w:tcPr>
          <w:p>
            <w:r>
              <w:rPr>
                <w:b w:val="false"/>
                <w:bCs w:val="false"/>
                <w:color w:val="2b2620"/>
                <w:sz w:val="20"/>
                <w:szCs w:val="20"/>
              </w:rPr>
              <w:t xml:space="preserve">Identité</w:t>
            </w:r>
          </w:p>
        </w:tc>
        <w:tc>
          <w:tcPr>
            <w:tcW w:type="pct" w:w="50%"/>
            <w:tcMar>
              <w:top w:type="dxa" w:w="80"/>
              <w:left w:type="dxa" w:w="120"/>
              <w:bottom w:type="dxa" w:w="80"/>
              <w:right w:type="dxa" w:w="120"/>
            </w:tcMar>
          </w:tcPr>
          <w:p>
            <w:r>
              <w:rPr>
                <w:b w:val="false"/>
                <w:bCs w:val="false"/>
                <w:color w:val="2b2620"/>
                <w:sz w:val="20"/>
                <w:szCs w:val="20"/>
              </w:rPr>
              <w:t xml:space="preserve">Compte utilisateur unique, avec rôle (parent, adolescent, specialist, admin) et sous-profils intégrés.</w:t>
            </w:r>
          </w:p>
        </w:tc>
      </w:tr>
      <w:tr>
        <w:tc>
          <w:tcPr>
            <w:tcW w:type="pct" w:w="30%"/>
            <w:tcMar>
              <w:top w:type="dxa" w:w="80"/>
              <w:left w:type="dxa" w:w="120"/>
              <w:bottom w:type="dxa" w:w="80"/>
              <w:right w:type="dxa" w:w="120"/>
            </w:tcMar>
          </w:tcPr>
          <w:p>
            <w:r>
              <w:rPr>
                <w:b w:val="false"/>
                <w:bCs w:val="false"/>
                <w:color w:val="2b2620"/>
                <w:sz w:val="20"/>
                <w:szCs w:val="20"/>
              </w:rPr>
              <w:t xml:space="preserve">SpecialistProfile / AdolescentProfile</w:t>
            </w:r>
          </w:p>
        </w:tc>
        <w:tc>
          <w:tcPr>
            <w:tcW w:type="pct" w:w="20%"/>
            <w:tcMar>
              <w:top w:type="dxa" w:w="80"/>
              <w:left w:type="dxa" w:w="120"/>
              <w:bottom w:type="dxa" w:w="80"/>
              <w:right w:type="dxa" w:w="120"/>
            </w:tcMar>
          </w:tcPr>
          <w:p>
            <w:r>
              <w:rPr>
                <w:b w:val="false"/>
                <w:bCs w:val="false"/>
                <w:color w:val="2b2620"/>
                <w:sz w:val="20"/>
                <w:szCs w:val="20"/>
              </w:rPr>
              <w:t xml:space="preserve">Identité</w:t>
            </w:r>
          </w:p>
        </w:tc>
        <w:tc>
          <w:tcPr>
            <w:tcW w:type="pct" w:w="50%"/>
            <w:tcMar>
              <w:top w:type="dxa" w:w="80"/>
              <w:left w:type="dxa" w:w="120"/>
              <w:bottom w:type="dxa" w:w="80"/>
              <w:right w:type="dxa" w:w="120"/>
            </w:tcMar>
          </w:tcPr>
          <w:p>
            <w:r>
              <w:rPr>
                <w:b w:val="false"/>
                <w:bCs w:val="false"/>
                <w:color w:val="2b2620"/>
                <w:sz w:val="20"/>
                <w:szCs w:val="20"/>
              </w:rPr>
              <w:t xml:space="preserve">Sous-documents intégrés à User, propres à chaque rôle.</w:t>
            </w:r>
          </w:p>
        </w:tc>
      </w:tr>
      <w:tr>
        <w:tc>
          <w:tcPr>
            <w:tcW w:type="pct" w:w="30%"/>
            <w:tcMar>
              <w:top w:type="dxa" w:w="80"/>
              <w:left w:type="dxa" w:w="120"/>
              <w:bottom w:type="dxa" w:w="80"/>
              <w:right w:type="dxa" w:w="120"/>
            </w:tcMar>
          </w:tcPr>
          <w:p>
            <w:r>
              <w:rPr>
                <w:b w:val="false"/>
                <w:bCs w:val="false"/>
                <w:color w:val="2b2620"/>
                <w:sz w:val="20"/>
                <w:szCs w:val="20"/>
              </w:rPr>
              <w:t xml:space="preserve">SurveySession</w:t>
            </w:r>
          </w:p>
        </w:tc>
        <w:tc>
          <w:tcPr>
            <w:tcW w:type="pct" w:w="20%"/>
            <w:tcMar>
              <w:top w:type="dxa" w:w="80"/>
              <w:left w:type="dxa" w:w="120"/>
              <w:bottom w:type="dxa" w:w="80"/>
              <w:right w:type="dxa" w:w="120"/>
            </w:tcMar>
          </w:tcPr>
          <w:p>
            <w:r>
              <w:rPr>
                <w:b w:val="false"/>
                <w:bCs w:val="false"/>
                <w:color w:val="2b2620"/>
                <w:sz w:val="20"/>
                <w:szCs w:val="20"/>
              </w:rPr>
              <w:t xml:space="preserve">Évaluation</w:t>
            </w:r>
          </w:p>
        </w:tc>
        <w:tc>
          <w:tcPr>
            <w:tcW w:type="pct" w:w="50%"/>
            <w:tcMar>
              <w:top w:type="dxa" w:w="80"/>
              <w:left w:type="dxa" w:w="120"/>
              <w:bottom w:type="dxa" w:w="80"/>
              <w:right w:type="dxa" w:w="120"/>
            </w:tcMar>
          </w:tcPr>
          <w:p>
            <w:r>
              <w:rPr>
                <w:b w:val="false"/>
                <w:bCs w:val="false"/>
                <w:color w:val="2b2620"/>
                <w:sz w:val="20"/>
                <w:szCs w:val="20"/>
              </w:rPr>
              <w:t xml:space="preserve">Session de réponse à un questionnaire, avec statut de progression.</w:t>
            </w:r>
          </w:p>
        </w:tc>
      </w:tr>
      <w:tr>
        <w:tc>
          <w:tcPr>
            <w:tcW w:type="pct" w:w="30%"/>
            <w:tcMar>
              <w:top w:type="dxa" w:w="80"/>
              <w:left w:type="dxa" w:w="120"/>
              <w:bottom w:type="dxa" w:w="80"/>
              <w:right w:type="dxa" w:w="120"/>
            </w:tcMar>
          </w:tcPr>
          <w:p>
            <w:r>
              <w:rPr>
                <w:b w:val="false"/>
                <w:bCs w:val="false"/>
                <w:color w:val="2b2620"/>
                <w:sz w:val="20"/>
                <w:szCs w:val="20"/>
              </w:rPr>
              <w:t xml:space="preserve">ScoreRecord</w:t>
            </w:r>
          </w:p>
        </w:tc>
        <w:tc>
          <w:tcPr>
            <w:tcW w:type="pct" w:w="20%"/>
            <w:tcMar>
              <w:top w:type="dxa" w:w="80"/>
              <w:left w:type="dxa" w:w="120"/>
              <w:bottom w:type="dxa" w:w="80"/>
              <w:right w:type="dxa" w:w="120"/>
            </w:tcMar>
          </w:tcPr>
          <w:p>
            <w:r>
              <w:rPr>
                <w:b w:val="false"/>
                <w:bCs w:val="false"/>
                <w:color w:val="2b2620"/>
                <w:sz w:val="20"/>
                <w:szCs w:val="20"/>
              </w:rPr>
              <w:t xml:space="preserve">Évaluation</w:t>
            </w:r>
          </w:p>
        </w:tc>
        <w:tc>
          <w:tcPr>
            <w:tcW w:type="pct" w:w="50%"/>
            <w:tcMar>
              <w:top w:type="dxa" w:w="80"/>
              <w:left w:type="dxa" w:w="120"/>
              <w:bottom w:type="dxa" w:w="80"/>
              <w:right w:type="dxa" w:w="120"/>
            </w:tcMar>
          </w:tcPr>
          <w:p>
            <w:r>
              <w:rPr>
                <w:b w:val="false"/>
                <w:bCs w:val="false"/>
                <w:color w:val="2b2620"/>
                <w:sz w:val="20"/>
                <w:szCs w:val="20"/>
              </w:rPr>
              <w:t xml:space="preserve">Résultat calculé d'une session : sous-scores, score global, niveau et catégorie de risque, recommandations.</w:t>
            </w:r>
          </w:p>
        </w:tc>
      </w:tr>
      <w:tr>
        <w:tc>
          <w:tcPr>
            <w:tcW w:type="pct" w:w="30%"/>
            <w:tcMar>
              <w:top w:type="dxa" w:w="80"/>
              <w:left w:type="dxa" w:w="120"/>
              <w:bottom w:type="dxa" w:w="80"/>
              <w:right w:type="dxa" w:w="120"/>
            </w:tcMar>
          </w:tcPr>
          <w:p>
            <w:r>
              <w:rPr>
                <w:b w:val="false"/>
                <w:bCs w:val="false"/>
                <w:color w:val="2b2620"/>
                <w:sz w:val="20"/>
                <w:szCs w:val="20"/>
              </w:rPr>
              <w:t xml:space="preserve">RiskAlert</w:t>
            </w:r>
          </w:p>
        </w:tc>
        <w:tc>
          <w:tcPr>
            <w:tcW w:type="pct" w:w="20%"/>
            <w:tcMar>
              <w:top w:type="dxa" w:w="80"/>
              <w:left w:type="dxa" w:w="120"/>
              <w:bottom w:type="dxa" w:w="80"/>
              <w:right w:type="dxa" w:w="120"/>
            </w:tcMar>
          </w:tcPr>
          <w:p>
            <w:r>
              <w:rPr>
                <w:b w:val="false"/>
                <w:bCs w:val="false"/>
                <w:color w:val="2b2620"/>
                <w:sz w:val="20"/>
                <w:szCs w:val="20"/>
              </w:rPr>
              <w:t xml:space="preserve">Évaluation</w:t>
            </w:r>
          </w:p>
        </w:tc>
        <w:tc>
          <w:tcPr>
            <w:tcW w:type="pct" w:w="50%"/>
            <w:tcMar>
              <w:top w:type="dxa" w:w="80"/>
              <w:left w:type="dxa" w:w="120"/>
              <w:bottom w:type="dxa" w:w="80"/>
              <w:right w:type="dxa" w:w="120"/>
            </w:tcMar>
          </w:tcPr>
          <w:p>
            <w:r>
              <w:rPr>
                <w:b w:val="false"/>
                <w:bCs w:val="false"/>
                <w:color w:val="2b2620"/>
                <w:sz w:val="20"/>
                <w:szCs w:val="20"/>
              </w:rPr>
              <w:t xml:space="preserve">Alerte automatique déclenchée par un score à risque.</w:t>
            </w:r>
          </w:p>
        </w:tc>
      </w:tr>
      <w:tr>
        <w:tc>
          <w:tcPr>
            <w:tcW w:type="pct" w:w="30%"/>
            <w:tcMar>
              <w:top w:type="dxa" w:w="80"/>
              <w:left w:type="dxa" w:w="120"/>
              <w:bottom w:type="dxa" w:w="80"/>
              <w:right w:type="dxa" w:w="120"/>
            </w:tcMar>
          </w:tcPr>
          <w:p>
            <w:r>
              <w:rPr>
                <w:b w:val="false"/>
                <w:bCs w:val="false"/>
                <w:color w:val="2b2620"/>
                <w:sz w:val="20"/>
                <w:szCs w:val="20"/>
              </w:rPr>
              <w:t xml:space="preserve">EducationalResource</w:t>
            </w:r>
          </w:p>
        </w:tc>
        <w:tc>
          <w:tcPr>
            <w:tcW w:type="pct" w:w="20%"/>
            <w:tcMar>
              <w:top w:type="dxa" w:w="80"/>
              <w:left w:type="dxa" w:w="120"/>
              <w:bottom w:type="dxa" w:w="80"/>
              <w:right w:type="dxa" w:w="120"/>
            </w:tcMar>
          </w:tcPr>
          <w:p>
            <w:r>
              <w:rPr>
                <w:b w:val="false"/>
                <w:bCs w:val="false"/>
                <w:color w:val="2b2620"/>
                <w:sz w:val="20"/>
                <w:szCs w:val="20"/>
              </w:rPr>
              <w:t xml:space="preserve">Éducation</w:t>
            </w:r>
          </w:p>
        </w:tc>
        <w:tc>
          <w:tcPr>
            <w:tcW w:type="pct" w:w="50%"/>
            <w:tcMar>
              <w:top w:type="dxa" w:w="80"/>
              <w:left w:type="dxa" w:w="120"/>
              <w:bottom w:type="dxa" w:w="80"/>
              <w:right w:type="dxa" w:w="120"/>
            </w:tcMar>
          </w:tcPr>
          <w:p>
            <w:r>
              <w:rPr>
                <w:b w:val="false"/>
                <w:bCs w:val="false"/>
                <w:color w:val="2b2620"/>
                <w:sz w:val="20"/>
                <w:szCs w:val="20"/>
              </w:rPr>
              <w:t xml:space="preserve">Ressource du catalogue éducatif, filtrable par âge et thématique.</w:t>
            </w:r>
          </w:p>
        </w:tc>
      </w:tr>
      <w:tr>
        <w:tc>
          <w:tcPr>
            <w:tcW w:type="pct" w:w="30%"/>
            <w:tcMar>
              <w:top w:type="dxa" w:w="80"/>
              <w:left w:type="dxa" w:w="120"/>
              <w:bottom w:type="dxa" w:w="80"/>
              <w:right w:type="dxa" w:w="120"/>
            </w:tcMar>
          </w:tcPr>
          <w:p>
            <w:r>
              <w:rPr>
                <w:b w:val="false"/>
                <w:bCs w:val="false"/>
                <w:color w:val="2b2620"/>
                <w:sz w:val="20"/>
                <w:szCs w:val="20"/>
              </w:rPr>
              <w:t xml:space="preserve">LearningProgress</w:t>
            </w:r>
          </w:p>
        </w:tc>
        <w:tc>
          <w:tcPr>
            <w:tcW w:type="pct" w:w="20%"/>
            <w:tcMar>
              <w:top w:type="dxa" w:w="80"/>
              <w:left w:type="dxa" w:w="120"/>
              <w:bottom w:type="dxa" w:w="80"/>
              <w:right w:type="dxa" w:w="120"/>
            </w:tcMar>
          </w:tcPr>
          <w:p>
            <w:r>
              <w:rPr>
                <w:b w:val="false"/>
                <w:bCs w:val="false"/>
                <w:color w:val="2b2620"/>
                <w:sz w:val="20"/>
                <w:szCs w:val="20"/>
              </w:rPr>
              <w:t xml:space="preserve">Éducation</w:t>
            </w:r>
          </w:p>
        </w:tc>
        <w:tc>
          <w:tcPr>
            <w:tcW w:type="pct" w:w="50%"/>
            <w:tcMar>
              <w:top w:type="dxa" w:w="80"/>
              <w:left w:type="dxa" w:w="120"/>
              <w:bottom w:type="dxa" w:w="80"/>
              <w:right w:type="dxa" w:w="120"/>
            </w:tcMar>
          </w:tcPr>
          <w:p>
            <w:r>
              <w:rPr>
                <w:b w:val="false"/>
                <w:bCs w:val="false"/>
                <w:color w:val="2b2620"/>
                <w:sz w:val="20"/>
                <w:szCs w:val="20"/>
              </w:rPr>
              <w:t xml:space="preserve">Progression d'un utilisateur dans un parcours e-learning.</w:t>
            </w:r>
          </w:p>
        </w:tc>
      </w:tr>
      <w:tr>
        <w:tc>
          <w:tcPr>
            <w:tcW w:type="pct" w:w="30%"/>
            <w:tcMar>
              <w:top w:type="dxa" w:w="80"/>
              <w:left w:type="dxa" w:w="120"/>
              <w:bottom w:type="dxa" w:w="80"/>
              <w:right w:type="dxa" w:w="120"/>
            </w:tcMar>
          </w:tcPr>
          <w:p>
            <w:r>
              <w:rPr>
                <w:b w:val="false"/>
                <w:bCs w:val="false"/>
                <w:color w:val="2b2620"/>
                <w:sz w:val="20"/>
                <w:szCs w:val="20"/>
              </w:rPr>
              <w:t xml:space="preserve">ParentToolkitItem</w:t>
            </w:r>
          </w:p>
        </w:tc>
        <w:tc>
          <w:tcPr>
            <w:tcW w:type="pct" w:w="20%"/>
            <w:tcMar>
              <w:top w:type="dxa" w:w="80"/>
              <w:left w:type="dxa" w:w="120"/>
              <w:bottom w:type="dxa" w:w="80"/>
              <w:right w:type="dxa" w:w="120"/>
            </w:tcMar>
          </w:tcPr>
          <w:p>
            <w:r>
              <w:rPr>
                <w:b w:val="false"/>
                <w:bCs w:val="false"/>
                <w:color w:val="2b2620"/>
                <w:sz w:val="20"/>
                <w:szCs w:val="20"/>
              </w:rPr>
              <w:t xml:space="preserve">Éducation</w:t>
            </w:r>
          </w:p>
        </w:tc>
        <w:tc>
          <w:tcPr>
            <w:tcW w:type="pct" w:w="50%"/>
            <w:tcMar>
              <w:top w:type="dxa" w:w="80"/>
              <w:left w:type="dxa" w:w="120"/>
              <w:bottom w:type="dxa" w:w="80"/>
              <w:right w:type="dxa" w:w="120"/>
            </w:tcMar>
          </w:tcPr>
          <w:p>
            <w:r>
              <w:rPr>
                <w:b w:val="false"/>
                <w:bCs w:val="false"/>
                <w:color w:val="2b2620"/>
                <w:sz w:val="20"/>
                <w:szCs w:val="20"/>
              </w:rPr>
              <w:t xml:space="preserve">Contrat numérique ou planning créé par un parent.</w:t>
            </w:r>
          </w:p>
        </w:tc>
      </w:tr>
      <w:tr>
        <w:tc>
          <w:tcPr>
            <w:tcW w:type="pct" w:w="30%"/>
            <w:tcMar>
              <w:top w:type="dxa" w:w="80"/>
              <w:left w:type="dxa" w:w="120"/>
              <w:bottom w:type="dxa" w:w="80"/>
              <w:right w:type="dxa" w:w="120"/>
            </w:tcMar>
          </w:tcPr>
          <w:p>
            <w:r>
              <w:rPr>
                <w:b w:val="false"/>
                <w:bCs w:val="false"/>
                <w:color w:val="2b2620"/>
                <w:sz w:val="20"/>
                <w:szCs w:val="20"/>
              </w:rPr>
              <w:t xml:space="preserve">NewsletterDigest</w:t>
            </w:r>
          </w:p>
        </w:tc>
        <w:tc>
          <w:tcPr>
            <w:tcW w:type="pct" w:w="20%"/>
            <w:tcMar>
              <w:top w:type="dxa" w:w="80"/>
              <w:left w:type="dxa" w:w="120"/>
              <w:bottom w:type="dxa" w:w="80"/>
              <w:right w:type="dxa" w:w="120"/>
            </w:tcMar>
          </w:tcPr>
          <w:p>
            <w:r>
              <w:rPr>
                <w:b w:val="false"/>
                <w:bCs w:val="false"/>
                <w:color w:val="2b2620"/>
                <w:sz w:val="20"/>
                <w:szCs w:val="20"/>
              </w:rPr>
              <w:t xml:space="preserve">Éducation</w:t>
            </w:r>
          </w:p>
        </w:tc>
        <w:tc>
          <w:tcPr>
            <w:tcW w:type="pct" w:w="50%"/>
            <w:tcMar>
              <w:top w:type="dxa" w:w="80"/>
              <w:left w:type="dxa" w:w="120"/>
              <w:bottom w:type="dxa" w:w="80"/>
              <w:right w:type="dxa" w:w="120"/>
            </w:tcMar>
          </w:tcPr>
          <w:p>
            <w:r>
              <w:rPr>
                <w:b w:val="false"/>
                <w:bCs w:val="false"/>
                <w:color w:val="2b2620"/>
                <w:sz w:val="20"/>
                <w:szCs w:val="20"/>
              </w:rPr>
              <w:t xml:space="preserve">Synthèse personnalisée générée à la demande.</w:t>
            </w:r>
          </w:p>
        </w:tc>
      </w:tr>
      <w:tr>
        <w:tc>
          <w:tcPr>
            <w:tcW w:type="pct" w:w="30%"/>
            <w:tcMar>
              <w:top w:type="dxa" w:w="80"/>
              <w:left w:type="dxa" w:w="120"/>
              <w:bottom w:type="dxa" w:w="80"/>
              <w:right w:type="dxa" w:w="120"/>
            </w:tcMar>
          </w:tcPr>
          <w:p>
            <w:r>
              <w:rPr>
                <w:b w:val="false"/>
                <w:bCs w:val="false"/>
                <w:color w:val="2b2620"/>
                <w:sz w:val="20"/>
                <w:szCs w:val="20"/>
              </w:rPr>
              <w:t xml:space="preserve">TeleconsultationSpecialistProfile</w:t>
            </w:r>
          </w:p>
        </w:tc>
        <w:tc>
          <w:tcPr>
            <w:tcW w:type="pct" w:w="20%"/>
            <w:tcMar>
              <w:top w:type="dxa" w:w="80"/>
              <w:left w:type="dxa" w:w="120"/>
              <w:bottom w:type="dxa" w:w="80"/>
              <w:right w:type="dxa" w:w="120"/>
            </w:tcMar>
          </w:tcPr>
          <w:p>
            <w:r>
              <w:rPr>
                <w:b w:val="false"/>
                <w:bCs w:val="false"/>
                <w:color w:val="2b2620"/>
                <w:sz w:val="20"/>
                <w:szCs w:val="20"/>
              </w:rPr>
              <w:t xml:space="preserve">Téléconsultation</w:t>
            </w:r>
          </w:p>
        </w:tc>
        <w:tc>
          <w:tcPr>
            <w:tcW w:type="pct" w:w="50%"/>
            <w:tcMar>
              <w:top w:type="dxa" w:w="80"/>
              <w:left w:type="dxa" w:w="120"/>
              <w:bottom w:type="dxa" w:w="80"/>
              <w:right w:type="dxa" w:w="120"/>
            </w:tcMar>
          </w:tcPr>
          <w:p>
            <w:r>
              <w:rPr>
                <w:b w:val="false"/>
                <w:bCs w:val="false"/>
                <w:color w:val="2b2620"/>
                <w:sz w:val="20"/>
                <w:szCs w:val="20"/>
              </w:rPr>
              <w:t xml:space="preserve">Fiche annuaire d'un spécialiste, avec règles de disponibilité récurrentes.</w:t>
            </w:r>
          </w:p>
        </w:tc>
      </w:tr>
      <w:tr>
        <w:tc>
          <w:tcPr>
            <w:tcW w:type="pct" w:w="30%"/>
            <w:tcMar>
              <w:top w:type="dxa" w:w="80"/>
              <w:left w:type="dxa" w:w="120"/>
              <w:bottom w:type="dxa" w:w="80"/>
              <w:right w:type="dxa" w:w="120"/>
            </w:tcMar>
          </w:tcPr>
          <w:p>
            <w:r>
              <w:rPr>
                <w:b w:val="false"/>
                <w:bCs w:val="false"/>
                <w:color w:val="2b2620"/>
                <w:sz w:val="20"/>
                <w:szCs w:val="20"/>
              </w:rPr>
              <w:t xml:space="preserve">TeleconsultationAppointment</w:t>
            </w:r>
          </w:p>
        </w:tc>
        <w:tc>
          <w:tcPr>
            <w:tcW w:type="pct" w:w="20%"/>
            <w:tcMar>
              <w:top w:type="dxa" w:w="80"/>
              <w:left w:type="dxa" w:w="120"/>
              <w:bottom w:type="dxa" w:w="80"/>
              <w:right w:type="dxa" w:w="120"/>
            </w:tcMar>
          </w:tcPr>
          <w:p>
            <w:r>
              <w:rPr>
                <w:b w:val="false"/>
                <w:bCs w:val="false"/>
                <w:color w:val="2b2620"/>
                <w:sz w:val="20"/>
                <w:szCs w:val="20"/>
              </w:rPr>
              <w:t xml:space="preserve">Téléconsultation</w:t>
            </w:r>
          </w:p>
        </w:tc>
        <w:tc>
          <w:tcPr>
            <w:tcW w:type="pct" w:w="50%"/>
            <w:tcMar>
              <w:top w:type="dxa" w:w="80"/>
              <w:left w:type="dxa" w:w="120"/>
              <w:bottom w:type="dxa" w:w="80"/>
              <w:right w:type="dxa" w:w="120"/>
            </w:tcMar>
          </w:tcPr>
          <w:p>
            <w:r>
              <w:rPr>
                <w:b w:val="false"/>
                <w:bCs w:val="false"/>
                <w:color w:val="2b2620"/>
                <w:sz w:val="20"/>
                <w:szCs w:val="20"/>
              </w:rPr>
              <w:t xml:space="preserve">Rendez-vous entre un patient et un spécialiste, avec statut et créneau.</w:t>
            </w:r>
          </w:p>
        </w:tc>
      </w:tr>
      <w:tr>
        <w:tc>
          <w:tcPr>
            <w:tcW w:type="pct" w:w="30%"/>
            <w:tcMar>
              <w:top w:type="dxa" w:w="80"/>
              <w:left w:type="dxa" w:w="120"/>
              <w:bottom w:type="dxa" w:w="80"/>
              <w:right w:type="dxa" w:w="120"/>
            </w:tcMar>
          </w:tcPr>
          <w:p>
            <w:r>
              <w:rPr>
                <w:b w:val="false"/>
                <w:bCs w:val="false"/>
                <w:color w:val="2b2620"/>
                <w:sz w:val="20"/>
                <w:szCs w:val="20"/>
              </w:rPr>
              <w:t xml:space="preserve">TeleconsultationMessage</w:t>
            </w:r>
          </w:p>
        </w:tc>
        <w:tc>
          <w:tcPr>
            <w:tcW w:type="pct" w:w="20%"/>
            <w:tcMar>
              <w:top w:type="dxa" w:w="80"/>
              <w:left w:type="dxa" w:w="120"/>
              <w:bottom w:type="dxa" w:w="80"/>
              <w:right w:type="dxa" w:w="120"/>
            </w:tcMar>
          </w:tcPr>
          <w:p>
            <w:r>
              <w:rPr>
                <w:b w:val="false"/>
                <w:bCs w:val="false"/>
                <w:color w:val="2b2620"/>
                <w:sz w:val="20"/>
                <w:szCs w:val="20"/>
              </w:rPr>
              <w:t xml:space="preserve">Téléconsultation</w:t>
            </w:r>
          </w:p>
        </w:tc>
        <w:tc>
          <w:tcPr>
            <w:tcW w:type="pct" w:w="50%"/>
            <w:tcMar>
              <w:top w:type="dxa" w:w="80"/>
              <w:left w:type="dxa" w:w="120"/>
              <w:bottom w:type="dxa" w:w="80"/>
              <w:right w:type="dxa" w:w="120"/>
            </w:tcMar>
          </w:tcPr>
          <w:p>
            <w:r>
              <w:rPr>
                <w:b w:val="false"/>
                <w:bCs w:val="false"/>
                <w:color w:val="2b2620"/>
                <w:sz w:val="20"/>
                <w:szCs w:val="20"/>
              </w:rPr>
              <w:t xml:space="preserve">Message chiffré échangé dans le cadre d'un rendez-vous.</w:t>
            </w:r>
          </w:p>
        </w:tc>
      </w:tr>
    </w:tbl>
    <w:p>
      <w:pPr>
        <w:spacing w:after="260" w:before="80"/>
        <w:jc w:val="center"/>
      </w:pPr>
      <w:r>
        <w:rPr>
          <w:i/>
          <w:iCs/>
          <w:color w:val="5a5348"/>
          <w:sz w:val="20"/>
          <w:szCs w:val="20"/>
        </w:rPr>
        <w:t xml:space="preserve">Figure 2 — Synthèse du diagramme de classes FamilyBalance (diagramme complet disponible en version interactive, voir annexe A).</w:t>
      </w:r>
    </w:p>
    <w:p>
      <w:pPr>
        <w:pStyle w:val="Heading2"/>
        <w:spacing w:after="150" w:before="300"/>
      </w:pPr>
      <w:r>
        <w:rPr>
          <w:color w:val="0d7a6f"/>
        </w:rPr>
        <w:t xml:space="preserve">3.3 Choix technologiques</w:t>
      </w:r>
    </w:p>
    <w:tbl>
      <w:tblPr>
        <w:tblW w:type="pct" w:w="100%"/>
        <w:tblBorders>
          <w:top w:val="single" w:color="ddd0ba" w:sz="2"/>
          <w:left w:val="single" w:color="ddd0ba" w:sz="2"/>
          <w:bottom w:val="single" w:color="ddd0ba" w:sz="2"/>
          <w:right w:val="single" w:color="ddd0ba" w:sz="2"/>
          <w:insideH w:val="single" w:color="ddd0ba" w:sz="1"/>
          <w:insideV w:val="single" w:color="ddd0ba" w:sz="1"/>
        </w:tblBorders>
      </w:tblPr>
      <w:tblGrid>
        <w:gridCol w:w="100"/>
        <w:gridCol w:w="100"/>
        <w:gridCol w:w="100"/>
      </w:tblGrid>
      <w:tr>
        <w:tc>
          <w:tcPr>
            <w:tcW w:type="pct" w:w="22%"/>
            <w:shd w:fill="1c3a5e" w:val="clear"/>
            <w:tcMar>
              <w:top w:type="dxa" w:w="80"/>
              <w:left w:type="dxa" w:w="120"/>
              <w:bottom w:type="dxa" w:w="80"/>
              <w:right w:type="dxa" w:w="120"/>
            </w:tcMar>
          </w:tcPr>
          <w:p>
            <w:r>
              <w:rPr>
                <w:b/>
                <w:bCs/>
                <w:color w:val="FFFFFF"/>
                <w:sz w:val="20"/>
                <w:szCs w:val="20"/>
              </w:rPr>
              <w:t xml:space="preserve">Composant</w:t>
            </w:r>
          </w:p>
        </w:tc>
        <w:tc>
          <w:tcPr>
            <w:tcW w:type="pct" w:w="30%"/>
            <w:shd w:fill="1c3a5e" w:val="clear"/>
            <w:tcMar>
              <w:top w:type="dxa" w:w="80"/>
              <w:left w:type="dxa" w:w="120"/>
              <w:bottom w:type="dxa" w:w="80"/>
              <w:right w:type="dxa" w:w="120"/>
            </w:tcMar>
          </w:tcPr>
          <w:p>
            <w:r>
              <w:rPr>
                <w:b/>
                <w:bCs/>
                <w:color w:val="FFFFFF"/>
                <w:sz w:val="20"/>
                <w:szCs w:val="20"/>
              </w:rPr>
              <w:t xml:space="preserve">Technologie retenue</w:t>
            </w:r>
          </w:p>
        </w:tc>
        <w:tc>
          <w:tcPr>
            <w:tcW w:type="pct" w:w="48%"/>
            <w:shd w:fill="1c3a5e" w:val="clear"/>
            <w:tcMar>
              <w:top w:type="dxa" w:w="80"/>
              <w:left w:type="dxa" w:w="120"/>
              <w:bottom w:type="dxa" w:w="80"/>
              <w:right w:type="dxa" w:w="120"/>
            </w:tcMar>
          </w:tcPr>
          <w:p>
            <w:r>
              <w:rPr>
                <w:b/>
                <w:bCs/>
                <w:color w:val="FFFFFF"/>
                <w:sz w:val="20"/>
                <w:szCs w:val="20"/>
              </w:rPr>
              <w:t xml:space="preserve">Justification</w:t>
            </w:r>
          </w:p>
        </w:tc>
      </w:tr>
      <w:tr>
        <w:tc>
          <w:tcPr>
            <w:tcW w:type="pct" w:w="22%"/>
            <w:tcMar>
              <w:top w:type="dxa" w:w="80"/>
              <w:left w:type="dxa" w:w="120"/>
              <w:bottom w:type="dxa" w:w="80"/>
              <w:right w:type="dxa" w:w="120"/>
            </w:tcMar>
          </w:tcPr>
          <w:p>
            <w:r>
              <w:rPr>
                <w:b w:val="false"/>
                <w:bCs w:val="false"/>
                <w:color w:val="2b2620"/>
                <w:sz w:val="20"/>
                <w:szCs w:val="20"/>
              </w:rPr>
              <w:t xml:space="preserve">Frontend</w:t>
            </w:r>
          </w:p>
        </w:tc>
        <w:tc>
          <w:tcPr>
            <w:tcW w:type="pct" w:w="30%"/>
            <w:tcMar>
              <w:top w:type="dxa" w:w="80"/>
              <w:left w:type="dxa" w:w="120"/>
              <w:bottom w:type="dxa" w:w="80"/>
              <w:right w:type="dxa" w:w="120"/>
            </w:tcMar>
          </w:tcPr>
          <w:p>
            <w:r>
              <w:rPr>
                <w:b w:val="false"/>
                <w:bCs w:val="false"/>
                <w:color w:val="2b2620"/>
                <w:sz w:val="20"/>
                <w:szCs w:val="20"/>
              </w:rPr>
              <w:t xml:space="preserve">Angular 17 (standalone components), Angular Material</w:t>
            </w:r>
          </w:p>
        </w:tc>
        <w:tc>
          <w:tcPr>
            <w:tcW w:type="pct" w:w="48%"/>
            <w:tcMar>
              <w:top w:type="dxa" w:w="80"/>
              <w:left w:type="dxa" w:w="120"/>
              <w:bottom w:type="dxa" w:w="80"/>
              <w:right w:type="dxa" w:w="120"/>
            </w:tcMar>
          </w:tcPr>
          <w:p>
            <w:r>
              <w:rPr>
                <w:b w:val="false"/>
                <w:bCs w:val="false"/>
                <w:color w:val="2b2620"/>
                <w:sz w:val="20"/>
                <w:szCs w:val="20"/>
              </w:rPr>
              <w:t xml:space="preserve">Architecture composants modulaire, typage fort avec TypeScript, écosystème mature pour les formulaires réactifs.</w:t>
            </w:r>
          </w:p>
        </w:tc>
      </w:tr>
      <w:tr>
        <w:tc>
          <w:tcPr>
            <w:tcW w:type="pct" w:w="22%"/>
            <w:tcMar>
              <w:top w:type="dxa" w:w="80"/>
              <w:left w:type="dxa" w:w="120"/>
              <w:bottom w:type="dxa" w:w="80"/>
              <w:right w:type="dxa" w:w="120"/>
            </w:tcMar>
          </w:tcPr>
          <w:p>
            <w:r>
              <w:rPr>
                <w:b w:val="false"/>
                <w:bCs w:val="false"/>
                <w:color w:val="2b2620"/>
                <w:sz w:val="20"/>
                <w:szCs w:val="20"/>
              </w:rPr>
              <w:t xml:space="preserve">Backend</w:t>
            </w:r>
          </w:p>
        </w:tc>
        <w:tc>
          <w:tcPr>
            <w:tcW w:type="pct" w:w="30%"/>
            <w:tcMar>
              <w:top w:type="dxa" w:w="80"/>
              <w:left w:type="dxa" w:w="120"/>
              <w:bottom w:type="dxa" w:w="80"/>
              <w:right w:type="dxa" w:w="120"/>
            </w:tcMar>
          </w:tcPr>
          <w:p>
            <w:r>
              <w:rPr>
                <w:b w:val="false"/>
                <w:bCs w:val="false"/>
                <w:color w:val="2b2620"/>
                <w:sz w:val="20"/>
                <w:szCs w:val="20"/>
              </w:rPr>
              <w:t xml:space="preserve">Node.js, Express.js</w:t>
            </w:r>
          </w:p>
        </w:tc>
        <w:tc>
          <w:tcPr>
            <w:tcW w:type="pct" w:w="48%"/>
            <w:tcMar>
              <w:top w:type="dxa" w:w="80"/>
              <w:left w:type="dxa" w:w="120"/>
              <w:bottom w:type="dxa" w:w="80"/>
              <w:right w:type="dxa" w:w="120"/>
            </w:tcMar>
          </w:tcPr>
          <w:p>
            <w:r>
              <w:rPr>
                <w:b w:val="false"/>
                <w:bCs w:val="false"/>
                <w:color w:val="2b2620"/>
                <w:sz w:val="20"/>
                <w:szCs w:val="20"/>
              </w:rPr>
              <w:t xml:space="preserve">Performances adaptées aux API I/O-intensives, écosystème npm riche, cohérence de langage (JavaScript/TypeScript) avec le frontend.</w:t>
            </w:r>
          </w:p>
        </w:tc>
      </w:tr>
      <w:tr>
        <w:tc>
          <w:tcPr>
            <w:tcW w:type="pct" w:w="22%"/>
            <w:tcMar>
              <w:top w:type="dxa" w:w="80"/>
              <w:left w:type="dxa" w:w="120"/>
              <w:bottom w:type="dxa" w:w="80"/>
              <w:right w:type="dxa" w:w="120"/>
            </w:tcMar>
          </w:tcPr>
          <w:p>
            <w:r>
              <w:rPr>
                <w:b w:val="false"/>
                <w:bCs w:val="false"/>
                <w:color w:val="2b2620"/>
                <w:sz w:val="20"/>
                <w:szCs w:val="20"/>
              </w:rPr>
              <w:t xml:space="preserve">Base de données</w:t>
            </w:r>
          </w:p>
        </w:tc>
        <w:tc>
          <w:tcPr>
            <w:tcW w:type="pct" w:w="30%"/>
            <w:tcMar>
              <w:top w:type="dxa" w:w="80"/>
              <w:left w:type="dxa" w:w="120"/>
              <w:bottom w:type="dxa" w:w="80"/>
              <w:right w:type="dxa" w:w="120"/>
            </w:tcMar>
          </w:tcPr>
          <w:p>
            <w:r>
              <w:rPr>
                <w:b w:val="false"/>
                <w:bCs w:val="false"/>
                <w:color w:val="2b2620"/>
                <w:sz w:val="20"/>
                <w:szCs w:val="20"/>
              </w:rPr>
              <w:t xml:space="preserve">MongoDB, Mongoose</w:t>
            </w:r>
          </w:p>
        </w:tc>
        <w:tc>
          <w:tcPr>
            <w:tcW w:type="pct" w:w="48%"/>
            <w:tcMar>
              <w:top w:type="dxa" w:w="80"/>
              <w:left w:type="dxa" w:w="120"/>
              <w:bottom w:type="dxa" w:w="80"/>
              <w:right w:type="dxa" w:w="120"/>
            </w:tcMar>
          </w:tcPr>
          <w:p>
            <w:r>
              <w:rPr>
                <w:b w:val="false"/>
                <w:bCs w:val="false"/>
                <w:color w:val="2b2620"/>
                <w:sz w:val="20"/>
                <w:szCs w:val="20"/>
              </w:rPr>
              <w:t xml:space="preserve">Modèle documentaire flexible, adapté à des structures imbriquées (sous-profils, sous-scores) sans jointures complexes.</w:t>
            </w:r>
          </w:p>
        </w:tc>
      </w:tr>
      <w:tr>
        <w:tc>
          <w:tcPr>
            <w:tcW w:type="pct" w:w="22%"/>
            <w:tcMar>
              <w:top w:type="dxa" w:w="80"/>
              <w:left w:type="dxa" w:w="120"/>
              <w:bottom w:type="dxa" w:w="80"/>
              <w:right w:type="dxa" w:w="120"/>
            </w:tcMar>
          </w:tcPr>
          <w:p>
            <w:r>
              <w:rPr>
                <w:b w:val="false"/>
                <w:bCs w:val="false"/>
                <w:color w:val="2b2620"/>
                <w:sz w:val="20"/>
                <w:szCs w:val="20"/>
              </w:rPr>
              <w:t xml:space="preserve">Authentification</w:t>
            </w:r>
          </w:p>
        </w:tc>
        <w:tc>
          <w:tcPr>
            <w:tcW w:type="pct" w:w="30%"/>
            <w:tcMar>
              <w:top w:type="dxa" w:w="80"/>
              <w:left w:type="dxa" w:w="120"/>
              <w:bottom w:type="dxa" w:w="80"/>
              <w:right w:type="dxa" w:w="120"/>
            </w:tcMar>
          </w:tcPr>
          <w:p>
            <w:r>
              <w:rPr>
                <w:b w:val="false"/>
                <w:bCs w:val="false"/>
                <w:color w:val="2b2620"/>
                <w:sz w:val="20"/>
                <w:szCs w:val="20"/>
              </w:rPr>
              <w:t xml:space="preserve">JWT (jsonwebtoken), bcryptjs</w:t>
            </w:r>
          </w:p>
        </w:tc>
        <w:tc>
          <w:tcPr>
            <w:tcW w:type="pct" w:w="48%"/>
            <w:tcMar>
              <w:top w:type="dxa" w:w="80"/>
              <w:left w:type="dxa" w:w="120"/>
              <w:bottom w:type="dxa" w:w="80"/>
              <w:right w:type="dxa" w:w="120"/>
            </w:tcMar>
          </w:tcPr>
          <w:p>
            <w:r>
              <w:rPr>
                <w:b w:val="false"/>
                <w:bCs w:val="false"/>
                <w:color w:val="2b2620"/>
                <w:sz w:val="20"/>
                <w:szCs w:val="20"/>
              </w:rPr>
              <w:t xml:space="preserve">Authentification sans état côté serveur, jetons d'accès courts et jetons de rafraîchissement révocables.</w:t>
            </w:r>
          </w:p>
        </w:tc>
      </w:tr>
      <w:tr>
        <w:tc>
          <w:tcPr>
            <w:tcW w:type="pct" w:w="22%"/>
            <w:tcMar>
              <w:top w:type="dxa" w:w="80"/>
              <w:left w:type="dxa" w:w="120"/>
              <w:bottom w:type="dxa" w:w="80"/>
              <w:right w:type="dxa" w:w="120"/>
            </w:tcMar>
          </w:tcPr>
          <w:p>
            <w:r>
              <w:rPr>
                <w:b w:val="false"/>
                <w:bCs w:val="false"/>
                <w:color w:val="2b2620"/>
                <w:sz w:val="20"/>
                <w:szCs w:val="20"/>
              </w:rPr>
              <w:t xml:space="preserve">Chiffrement messagerie</w:t>
            </w:r>
          </w:p>
        </w:tc>
        <w:tc>
          <w:tcPr>
            <w:tcW w:type="pct" w:w="30%"/>
            <w:tcMar>
              <w:top w:type="dxa" w:w="80"/>
              <w:left w:type="dxa" w:w="120"/>
              <w:bottom w:type="dxa" w:w="80"/>
              <w:right w:type="dxa" w:w="120"/>
            </w:tcMar>
          </w:tcPr>
          <w:p>
            <w:r>
              <w:rPr>
                <w:b w:val="false"/>
                <w:bCs w:val="false"/>
                <w:color w:val="2b2620"/>
                <w:sz w:val="20"/>
                <w:szCs w:val="20"/>
              </w:rPr>
              <w:t xml:space="preserve">AES-256-GCM (module crypto natif Node.js)</w:t>
            </w:r>
          </w:p>
        </w:tc>
        <w:tc>
          <w:tcPr>
            <w:tcW w:type="pct" w:w="48%"/>
            <w:tcMar>
              <w:top w:type="dxa" w:w="80"/>
              <w:left w:type="dxa" w:w="120"/>
              <w:bottom w:type="dxa" w:w="80"/>
              <w:right w:type="dxa" w:w="120"/>
            </w:tcMar>
          </w:tcPr>
          <w:p>
            <w:r>
              <w:rPr>
                <w:b w:val="false"/>
                <w:bCs w:val="false"/>
                <w:color w:val="2b2620"/>
                <w:sz w:val="20"/>
                <w:szCs w:val="20"/>
              </w:rPr>
              <w:t xml:space="preserve">Chiffrement authentifié de bout en bout des messages échangés en téléconsultation.</w:t>
            </w:r>
          </w:p>
        </w:tc>
      </w:tr>
      <w:tr>
        <w:tc>
          <w:tcPr>
            <w:tcW w:type="pct" w:w="22%"/>
            <w:tcMar>
              <w:top w:type="dxa" w:w="80"/>
              <w:left w:type="dxa" w:w="120"/>
              <w:bottom w:type="dxa" w:w="80"/>
              <w:right w:type="dxa" w:w="120"/>
            </w:tcMar>
          </w:tcPr>
          <w:p>
            <w:r>
              <w:rPr>
                <w:b w:val="false"/>
                <w:bCs w:val="false"/>
                <w:color w:val="2b2620"/>
                <w:sz w:val="20"/>
                <w:szCs w:val="20"/>
              </w:rPr>
              <w:t xml:space="preserve">E-mail transactionnel</w:t>
            </w:r>
          </w:p>
        </w:tc>
        <w:tc>
          <w:tcPr>
            <w:tcW w:type="pct" w:w="30%"/>
            <w:tcMar>
              <w:top w:type="dxa" w:w="80"/>
              <w:left w:type="dxa" w:w="120"/>
              <w:bottom w:type="dxa" w:w="80"/>
              <w:right w:type="dxa" w:w="120"/>
            </w:tcMar>
          </w:tcPr>
          <w:p>
            <w:r>
              <w:rPr>
                <w:b w:val="false"/>
                <w:bCs w:val="false"/>
                <w:color w:val="2b2620"/>
                <w:sz w:val="20"/>
                <w:szCs w:val="20"/>
              </w:rPr>
              <w:t xml:space="preserve">Nodemailer (SMTP)</w:t>
            </w:r>
          </w:p>
        </w:tc>
        <w:tc>
          <w:tcPr>
            <w:tcW w:type="pct" w:w="48%"/>
            <w:tcMar>
              <w:top w:type="dxa" w:w="80"/>
              <w:left w:type="dxa" w:w="120"/>
              <w:bottom w:type="dxa" w:w="80"/>
              <w:right w:type="dxa" w:w="120"/>
            </w:tcMar>
          </w:tcPr>
          <w:p>
            <w:r>
              <w:rPr>
                <w:b w:val="false"/>
                <w:bCs w:val="false"/>
                <w:color w:val="2b2620"/>
                <w:sz w:val="20"/>
                <w:szCs w:val="20"/>
              </w:rPr>
              <w:t xml:space="preserve">Envoi des e-mails de vérification, de réinitialisation et des codes MFA.</w:t>
            </w:r>
          </w:p>
        </w:tc>
      </w:tr>
      <w:tr>
        <w:tc>
          <w:tcPr>
            <w:tcW w:type="pct" w:w="22%"/>
            <w:tcMar>
              <w:top w:type="dxa" w:w="80"/>
              <w:left w:type="dxa" w:w="120"/>
              <w:bottom w:type="dxa" w:w="80"/>
              <w:right w:type="dxa" w:w="120"/>
            </w:tcMar>
          </w:tcPr>
          <w:p>
            <w:r>
              <w:rPr>
                <w:b w:val="false"/>
                <w:bCs w:val="false"/>
                <w:color w:val="2b2620"/>
                <w:sz w:val="20"/>
                <w:szCs w:val="20"/>
              </w:rPr>
              <w:t xml:space="preserve">Génération de rapports</w:t>
            </w:r>
          </w:p>
        </w:tc>
        <w:tc>
          <w:tcPr>
            <w:tcW w:type="pct" w:w="30%"/>
            <w:tcMar>
              <w:top w:type="dxa" w:w="80"/>
              <w:left w:type="dxa" w:w="120"/>
              <w:bottom w:type="dxa" w:w="80"/>
              <w:right w:type="dxa" w:w="120"/>
            </w:tcMar>
          </w:tcPr>
          <w:p>
            <w:r>
              <w:rPr>
                <w:b w:val="false"/>
                <w:bCs w:val="false"/>
                <w:color w:val="2b2620"/>
                <w:sz w:val="20"/>
                <w:szCs w:val="20"/>
              </w:rPr>
              <w:t xml:space="preserve">PDFKit</w:t>
            </w:r>
          </w:p>
        </w:tc>
        <w:tc>
          <w:tcPr>
            <w:tcW w:type="pct" w:w="48%"/>
            <w:tcMar>
              <w:top w:type="dxa" w:w="80"/>
              <w:left w:type="dxa" w:w="120"/>
              <w:bottom w:type="dxa" w:w="80"/>
              <w:right w:type="dxa" w:w="120"/>
            </w:tcMar>
          </w:tcPr>
          <w:p>
            <w:r>
              <w:rPr>
                <w:b w:val="false"/>
                <w:bCs w:val="false"/>
                <w:color w:val="2b2620"/>
                <w:sz w:val="20"/>
                <w:szCs w:val="20"/>
              </w:rPr>
              <w:t xml:space="preserve">Génération de rapports de score exportables au format PDF.</w:t>
            </w:r>
          </w:p>
        </w:tc>
      </w:tr>
    </w:tbl>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Chapitre 4 — Réalisation</w:t>
      </w:r>
    </w:p>
    <w:p>
      <w:pPr>
        <w:pStyle w:val="Heading2"/>
        <w:spacing w:after="150" w:before="300"/>
      </w:pPr>
      <w:r>
        <w:rPr>
          <w:color w:val="0d7a6f"/>
        </w:rPr>
        <w:t xml:space="preserve">4.1 Environnement de travail</w:t>
      </w:r>
    </w:p>
    <w:tbl>
      <w:tblPr>
        <w:tblW w:type="pct" w:w="100%"/>
        <w:tblBorders>
          <w:top w:val="single" w:color="ddd0ba" w:sz="2"/>
          <w:left w:val="single" w:color="ddd0ba" w:sz="2"/>
          <w:bottom w:val="single" w:color="ddd0ba" w:sz="2"/>
          <w:right w:val="single" w:color="ddd0ba" w:sz="2"/>
          <w:insideH w:val="single" w:color="ddd0ba" w:sz="1"/>
          <w:insideV w:val="single" w:color="ddd0ba" w:sz="1"/>
        </w:tblBorders>
      </w:tblPr>
      <w:tblGrid>
        <w:gridCol w:w="100"/>
        <w:gridCol w:w="100"/>
      </w:tblGrid>
      <w:tr>
        <w:tc>
          <w:tcPr>
            <w:tcW w:type="pct" w:w="30%"/>
            <w:shd w:fill="1c3a5e" w:val="clear"/>
            <w:tcMar>
              <w:top w:type="dxa" w:w="80"/>
              <w:left w:type="dxa" w:w="120"/>
              <w:bottom w:type="dxa" w:w="80"/>
              <w:right w:type="dxa" w:w="120"/>
            </w:tcMar>
          </w:tcPr>
          <w:p>
            <w:r>
              <w:rPr>
                <w:b/>
                <w:bCs/>
                <w:color w:val="FFFFFF"/>
                <w:sz w:val="20"/>
                <w:szCs w:val="20"/>
              </w:rPr>
              <w:t xml:space="preserve">Catégorie</w:t>
            </w:r>
          </w:p>
        </w:tc>
        <w:tc>
          <w:tcPr>
            <w:tcW w:type="pct" w:w="70%"/>
            <w:shd w:fill="1c3a5e" w:val="clear"/>
            <w:tcMar>
              <w:top w:type="dxa" w:w="80"/>
              <w:left w:type="dxa" w:w="120"/>
              <w:bottom w:type="dxa" w:w="80"/>
              <w:right w:type="dxa" w:w="120"/>
            </w:tcMar>
          </w:tcPr>
          <w:p>
            <w:r>
              <w:rPr>
                <w:b/>
                <w:bCs/>
                <w:color w:val="FFFFFF"/>
                <w:sz w:val="20"/>
                <w:szCs w:val="20"/>
              </w:rPr>
              <w:t xml:space="preserve">Outils</w:t>
            </w:r>
          </w:p>
        </w:tc>
      </w:tr>
      <w:tr>
        <w:tc>
          <w:tcPr>
            <w:tcW w:type="pct" w:w="30%"/>
            <w:tcMar>
              <w:top w:type="dxa" w:w="80"/>
              <w:left w:type="dxa" w:w="120"/>
              <w:bottom w:type="dxa" w:w="80"/>
              <w:right w:type="dxa" w:w="120"/>
            </w:tcMar>
          </w:tcPr>
          <w:p>
            <w:r>
              <w:rPr>
                <w:b w:val="false"/>
                <w:bCs w:val="false"/>
                <w:color w:val="2b2620"/>
                <w:sz w:val="20"/>
                <w:szCs w:val="20"/>
              </w:rPr>
              <w:t xml:space="preserve">Langages</w:t>
            </w:r>
          </w:p>
        </w:tc>
        <w:tc>
          <w:tcPr>
            <w:tcW w:type="pct" w:w="70%"/>
            <w:tcMar>
              <w:top w:type="dxa" w:w="80"/>
              <w:left w:type="dxa" w:w="120"/>
              <w:bottom w:type="dxa" w:w="80"/>
              <w:right w:type="dxa" w:w="120"/>
            </w:tcMar>
          </w:tcPr>
          <w:p>
            <w:r>
              <w:rPr>
                <w:b w:val="false"/>
                <w:bCs w:val="false"/>
                <w:color w:val="2b2620"/>
                <w:sz w:val="20"/>
                <w:szCs w:val="20"/>
              </w:rPr>
              <w:t xml:space="preserve">TypeScript, JavaScript (Node.js), HTML/CSS</w:t>
            </w:r>
          </w:p>
        </w:tc>
      </w:tr>
      <w:tr>
        <w:tc>
          <w:tcPr>
            <w:tcW w:type="pct" w:w="30%"/>
            <w:tcMar>
              <w:top w:type="dxa" w:w="80"/>
              <w:left w:type="dxa" w:w="120"/>
              <w:bottom w:type="dxa" w:w="80"/>
              <w:right w:type="dxa" w:w="120"/>
            </w:tcMar>
          </w:tcPr>
          <w:p>
            <w:r>
              <w:rPr>
                <w:b w:val="false"/>
                <w:bCs w:val="false"/>
                <w:color w:val="2b2620"/>
                <w:sz w:val="20"/>
                <w:szCs w:val="20"/>
              </w:rPr>
              <w:t xml:space="preserve">IDE</w:t>
            </w:r>
          </w:p>
        </w:tc>
        <w:tc>
          <w:tcPr>
            <w:tcW w:type="pct" w:w="70%"/>
            <w:tcMar>
              <w:top w:type="dxa" w:w="80"/>
              <w:left w:type="dxa" w:w="120"/>
              <w:bottom w:type="dxa" w:w="80"/>
              <w:right w:type="dxa" w:w="120"/>
            </w:tcMar>
          </w:tcPr>
          <w:p>
            <w:r>
              <w:rPr>
                <w:b w:val="false"/>
                <w:bCs w:val="false"/>
                <w:color w:val="2b2620"/>
                <w:sz w:val="20"/>
                <w:szCs w:val="20"/>
              </w:rPr>
              <w:t xml:space="preserve">Visual Studio Code</w:t>
            </w:r>
          </w:p>
        </w:tc>
      </w:tr>
      <w:tr>
        <w:tc>
          <w:tcPr>
            <w:tcW w:type="pct" w:w="30%"/>
            <w:tcMar>
              <w:top w:type="dxa" w:w="80"/>
              <w:left w:type="dxa" w:w="120"/>
              <w:bottom w:type="dxa" w:w="80"/>
              <w:right w:type="dxa" w:w="120"/>
            </w:tcMar>
          </w:tcPr>
          <w:p>
            <w:r>
              <w:rPr>
                <w:b w:val="false"/>
                <w:bCs w:val="false"/>
                <w:color w:val="2b2620"/>
                <w:sz w:val="20"/>
                <w:szCs w:val="20"/>
              </w:rPr>
              <w:t xml:space="preserve">Gestion de versions</w:t>
            </w:r>
          </w:p>
        </w:tc>
        <w:tc>
          <w:tcPr>
            <w:tcW w:type="pct" w:w="70%"/>
            <w:tcMar>
              <w:top w:type="dxa" w:w="80"/>
              <w:left w:type="dxa" w:w="120"/>
              <w:bottom w:type="dxa" w:w="80"/>
              <w:right w:type="dxa" w:w="120"/>
            </w:tcMar>
          </w:tcPr>
          <w:p>
            <w:r>
              <w:rPr>
                <w:b w:val="false"/>
                <w:bCs w:val="false"/>
                <w:color w:val="2b2620"/>
                <w:sz w:val="20"/>
                <w:szCs w:val="20"/>
              </w:rPr>
              <w:t xml:space="preserve">Git</w:t>
            </w:r>
          </w:p>
        </w:tc>
      </w:tr>
      <w:tr>
        <w:tc>
          <w:tcPr>
            <w:tcW w:type="pct" w:w="30%"/>
            <w:tcMar>
              <w:top w:type="dxa" w:w="80"/>
              <w:left w:type="dxa" w:w="120"/>
              <w:bottom w:type="dxa" w:w="80"/>
              <w:right w:type="dxa" w:w="120"/>
            </w:tcMar>
          </w:tcPr>
          <w:p>
            <w:r>
              <w:rPr>
                <w:b w:val="false"/>
                <w:bCs w:val="false"/>
                <w:color w:val="2b2620"/>
                <w:sz w:val="20"/>
                <w:szCs w:val="20"/>
              </w:rPr>
              <w:t xml:space="preserve">Base de données</w:t>
            </w:r>
          </w:p>
        </w:tc>
        <w:tc>
          <w:tcPr>
            <w:tcW w:type="pct" w:w="70%"/>
            <w:tcMar>
              <w:top w:type="dxa" w:w="80"/>
              <w:left w:type="dxa" w:w="120"/>
              <w:bottom w:type="dxa" w:w="80"/>
              <w:right w:type="dxa" w:w="120"/>
            </w:tcMar>
          </w:tcPr>
          <w:p>
            <w:r>
              <w:rPr>
                <w:b w:val="false"/>
                <w:bCs w:val="false"/>
                <w:color w:val="2b2620"/>
                <w:sz w:val="20"/>
                <w:szCs w:val="20"/>
              </w:rPr>
              <w:t xml:space="preserve">MongoDB (instance locale)</w:t>
            </w:r>
          </w:p>
        </w:tc>
      </w:tr>
      <w:tr>
        <w:tc>
          <w:tcPr>
            <w:tcW w:type="pct" w:w="30%"/>
            <w:tcMar>
              <w:top w:type="dxa" w:w="80"/>
              <w:left w:type="dxa" w:w="120"/>
              <w:bottom w:type="dxa" w:w="80"/>
              <w:right w:type="dxa" w:w="120"/>
            </w:tcMar>
          </w:tcPr>
          <w:p>
            <w:r>
              <w:rPr>
                <w:b w:val="false"/>
                <w:bCs w:val="false"/>
                <w:color w:val="2b2620"/>
                <w:sz w:val="20"/>
                <w:szCs w:val="20"/>
              </w:rPr>
              <w:t xml:space="preserve">Tests API</w:t>
            </w:r>
          </w:p>
        </w:tc>
        <w:tc>
          <w:tcPr>
            <w:tcW w:type="pct" w:w="70%"/>
            <w:tcMar>
              <w:top w:type="dxa" w:w="80"/>
              <w:left w:type="dxa" w:w="120"/>
              <w:bottom w:type="dxa" w:w="80"/>
              <w:right w:type="dxa" w:w="120"/>
            </w:tcMar>
          </w:tcPr>
          <w:p>
            <w:r>
              <w:rPr>
                <w:b w:val="false"/>
                <w:bCs w:val="false"/>
                <w:color w:val="2b2620"/>
                <w:sz w:val="20"/>
                <w:szCs w:val="20"/>
              </w:rPr>
              <w:t xml:space="preserve">Scripts de vérification bout en bout via l'API réelle et la base MongoDB réelle</w:t>
            </w:r>
          </w:p>
        </w:tc>
      </w:tr>
      <w:tr>
        <w:tc>
          <w:tcPr>
            <w:tcW w:type="pct" w:w="30%"/>
            <w:tcMar>
              <w:top w:type="dxa" w:w="80"/>
              <w:left w:type="dxa" w:w="120"/>
              <w:bottom w:type="dxa" w:w="80"/>
              <w:right w:type="dxa" w:w="120"/>
            </w:tcMar>
          </w:tcPr>
          <w:p>
            <w:r>
              <w:rPr>
                <w:b w:val="false"/>
                <w:bCs w:val="false"/>
                <w:color w:val="2b2620"/>
                <w:sz w:val="20"/>
                <w:szCs w:val="20"/>
              </w:rPr>
              <w:t xml:space="preserve">Outil d'assistance au développement</w:t>
            </w:r>
          </w:p>
        </w:tc>
        <w:tc>
          <w:tcPr>
            <w:tcW w:type="pct" w:w="70%"/>
            <w:tcMar>
              <w:top w:type="dxa" w:w="80"/>
              <w:left w:type="dxa" w:w="120"/>
              <w:bottom w:type="dxa" w:w="80"/>
              <w:right w:type="dxa" w:w="120"/>
            </w:tcMar>
          </w:tcPr>
          <w:p>
            <w:r>
              <w:rPr>
                <w:b w:val="false"/>
                <w:bCs w:val="false"/>
                <w:color w:val="2b2620"/>
                <w:sz w:val="20"/>
                <w:szCs w:val="20"/>
              </w:rPr>
              <w:t xml:space="preserve">Claude Code (assistant de développement IA)</w:t>
            </w:r>
          </w:p>
        </w:tc>
      </w:tr>
    </w:tbl>
    <w:p>
      <w:pPr>
        <w:pStyle w:val="Heading2"/>
        <w:spacing w:after="150" w:before="300"/>
      </w:pPr>
      <w:r>
        <w:rPr>
          <w:color w:val="0d7a6f"/>
        </w:rPr>
        <w:t xml:space="preserve">4.2 Réalisation par module</w:t>
      </w:r>
    </w:p>
    <w:p>
      <w:pPr>
        <w:pStyle w:val="Heading3"/>
        <w:spacing w:after="100" w:before="220"/>
      </w:pPr>
      <w:r>
        <w:rPr>
          <w:b/>
          <w:bCs/>
        </w:rPr>
        <w:t xml:space="preserve">4.2.1 Authentification et sécurité</w:t>
      </w:r>
    </w:p>
    <w:p>
      <w:pPr>
        <w:spacing w:after="160" w:line="276"/>
        <w:jc w:val="both"/>
      </w:pPr>
      <w:r>
        <w:t xml:space="preserve">Le module d'authentification met en œuvre un mécanisme à double jeton JWT : un jeton d'accès de courte durée (15 minutes) transmis dans l'en-tête HTTP, et un jeton de rafraîchissement (7 jours) stocké dans un cookie httpOnly — donc totalement inaccessible au JavaScript côté navigateur, ce qui limite l'exposition en cas de faille de type XSS. Chaque rafraîchissement génère un nouveau jeton et révoque l'ancien (rotation des jetons), et la déconnexion invalide explicitement le jeton côté serveur plutôt que de se contenter d'une suppression côté client.</w:t>
      </w:r>
    </w:p>
    <w:p>
      <w:pPr>
        <w:spacing w:after="160" w:line="276"/>
        <w:jc w:val="both"/>
      </w:pPr>
      <w:r>
        <w:t xml:space="preserve">Les rôles spécialiste et administrateur sont soumis à une authentification à double facteur obligatoire : un code à usage unique est envoyé par e-mail et doit être validé avant l'émission des jetons de session. L'inscription en tant qu'administrateur est en outre protégée par une clé d'inscription secrète, distincte du mot de passe, empêchant la création non autorisée de comptes à privilèges élevés.</w:t>
      </w:r>
    </w:p>
    <w:p>
      <w:pPr>
        <w:pStyle w:val="Heading3"/>
        <w:spacing w:after="100" w:before="220"/>
      </w:pPr>
      <w:r>
        <w:rPr>
          <w:b/>
          <w:bCs/>
        </w:rPr>
        <w:t xml:space="preserve">4.2.2 Suivi et évaluation (questionnaire et scoring)</w:t>
      </w:r>
    </w:p>
    <w:p>
      <w:pPr>
        <w:spacing w:after="160" w:line="276"/>
        <w:jc w:val="both"/>
      </w:pPr>
      <w:r>
        <w:t xml:space="preserve">Le moteur de scoring calcule, à la complétion d'un questionnaire, un score global et quatre sous-scores (comportemental, émotionnel, social, parental) à partir de pondérations dynamiques adaptées à la tranche d'âge. Le résultat est classé selon un niveau de risque à trois paliers (vert, orange, rouge) et une catégorie de risque plus fine à quatre niveaux (équilibre sain, vigilance légère, risque modéré, risque élevé), accompagnée de recommandations personnalisées générées automatiquement à partir des sous-scores les plus faibles.</w:t>
      </w:r>
    </w:p>
    <w:p>
      <w:pPr>
        <w:pStyle w:val="Heading3"/>
        <w:spacing w:after="100" w:before="220"/>
      </w:pPr>
      <w:r>
        <w:rPr>
          <w:b/>
          <w:bCs/>
        </w:rPr>
        <w:t xml:space="preserve">4.2.3 Tableau de bord famille et espace adolescent</w:t>
      </w:r>
    </w:p>
    <w:p>
      <w:pPr>
        <w:spacing w:after="160" w:line="276"/>
        <w:jc w:val="both"/>
      </w:pPr>
      <w:r>
        <w:t xml:space="preserve">Le tableau de bord famille agrège, pour chaque enfant rattaché à un compte parent, le score le plus récent, l'historique complet et les alertes ouvertes, avec un rappel automatique de réévaluation calculé à échéance de trois mois. Un bandeau de conseils personnalisés (« conseil du coach ») met en avant, de façon visible, les recommandations générées par le moteur de scoring — une donnée qui existait déjà en base mais qui n'était initialement exposée dans aucune interface.</w:t>
      </w:r>
    </w:p>
    <w:p>
      <w:pPr>
        <w:pStyle w:val="Heading3"/>
        <w:spacing w:after="100" w:before="220"/>
      </w:pPr>
      <w:r>
        <w:rPr>
          <w:b/>
          <w:bCs/>
        </w:rPr>
        <w:t xml:space="preserve">4.2.4 Espace éducatif</w:t>
      </w:r>
    </w:p>
    <w:p>
      <w:pPr>
        <w:spacing w:after="160" w:line="276"/>
        <w:jc w:val="both"/>
      </w:pPr>
      <w:r>
        <w:t xml:space="preserve">Ce module propose une bibliothèque de ressources filtrable par âge, type de contenu et thématique, des parcours e-learning gamifiés avec suivi de progression et système de badges, ainsi qu'une boîte à outils parentale permettant de créer des contrats numériques et des plannings d'activités partagés au sein de la famille.</w:t>
      </w:r>
    </w:p>
    <w:p>
      <w:pPr>
        <w:pStyle w:val="Heading3"/>
        <w:spacing w:after="100" w:before="220"/>
      </w:pPr>
      <w:r>
        <w:rPr>
          <w:b/>
          <w:bCs/>
        </w:rPr>
        <w:t xml:space="preserve">4.2.5 Téléconsultation</w:t>
      </w:r>
    </w:p>
    <w:p>
      <w:pPr>
        <w:spacing w:after="160" w:line="276"/>
        <w:jc w:val="both"/>
      </w:pPr>
      <w:r>
        <w:t xml:space="preserve">Le module de téléconsultation permet à un parent ou un adolescent de consulter un annuaire de spécialistes, de visualiser les créneaux disponibles — calculés dynamiquement à partir de règles de disponibilité hebdomadaires récurrentes et des rendez-vous déjà existants — puis de réserver, annuler ou déplacer un rendez-vous. Chaque réservation est protégée contre les doubles réservations par une vérification de chevauchement de créneaux côté serveur, y compris lors d'un déplacement. La messagerie associée à chaque rendez-vous est chiffrée de bout en bout (AES-256-GCM), et le patient peut, à sa seule initiative, partager son bilan FamilyBalance avec le spécialiste consulté.</w:t>
      </w:r>
    </w:p>
    <w:p>
      <w:pPr>
        <w:spacing w:after="160" w:line="276"/>
        <w:jc w:val="both"/>
      </w:pPr>
      <w:r>
        <w:t xml:space="preserve">Le spécialiste dispose d'un tableau de bord clinique dédié, limité aux seuls patients avec lesquels il a effectivement un rendez-vous — aucune vue d'ensemble sur l'intégralité des familles ne lui est accessible, conformément au principe de moindre privilège.</w:t>
      </w:r>
    </w:p>
    <w:p>
      <w:pPr>
        <w:pStyle w:val="Heading3"/>
        <w:spacing w:after="100" w:before="220"/>
      </w:pPr>
      <w:r>
        <w:rPr>
          <w:b/>
          <w:bCs/>
        </w:rPr>
        <w:t xml:space="preserve">4.2.6 Administration</w:t>
      </w:r>
    </w:p>
    <w:p>
      <w:pPr>
        <w:spacing w:after="160" w:line="276"/>
        <w:jc w:val="both"/>
      </w:pPr>
      <w:r>
        <w:t xml:space="preserve">L'espace d'administration permet la gestion complète des comptes utilisateurs : création, modification, activation ou désactivation, et suppression. La suppression d'un compte déclenche une purge en cascade des données associées (sessions, scores, alertes, rendez-vous, messages, jetons) afin d'éviter toute référence orpheline en base ; des garde-fous empêchent explicitement un administrateur de supprimer ou de se rétrograder lui-même, ainsi que la suppression du dernier compte administrateur restant. Un export des comptes est disponible aux formats Excel, Word et PDF.</w:t>
      </w:r>
    </w:p>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Chapitre 5 — Tests et validation</w:t>
      </w:r>
    </w:p>
    <w:p>
      <w:pPr>
        <w:pStyle w:val="Heading2"/>
        <w:spacing w:after="150" w:before="300"/>
      </w:pPr>
      <w:r>
        <w:rPr>
          <w:color w:val="0d7a6f"/>
        </w:rPr>
        <w:t xml:space="preserve">5.1 Stratégie de tests</w:t>
      </w:r>
    </w:p>
    <w:p>
      <w:pPr>
        <w:spacing w:after="160" w:line="276"/>
        <w:jc w:val="both"/>
      </w:pPr>
      <w:r>
        <w:t xml:space="preserve">La stratégie de validation retenue privilégie systématiquement les tests fonctionnels de bout en bout, exécutés contre l'API réelle et une base MongoDB réelle, plutôt que des tests unitaires isolés sur des dépendances simulées. Cette approche, plus exigeante à mettre en œuvre, a permis de révéler des anomalies qui n'auraient pas été détectées par une simple relecture de code ou des tests unitaires classiques — notamment des incohérences entre les valeurs réellement stockées en base et les valeurs attendues côté interface.</w:t>
      </w:r>
    </w:p>
    <w:p>
      <w:pPr>
        <w:pStyle w:val="Heading2"/>
        <w:spacing w:after="150" w:before="300"/>
      </w:pPr>
      <w:r>
        <w:rPr>
          <w:color w:val="0d7a6f"/>
        </w:rPr>
        <w:t xml:space="preserve">5.2 Exemples de scénarios de test exécutés</w:t>
      </w:r>
    </w:p>
    <w:tbl>
      <w:tblPr>
        <w:tblW w:type="pct" w:w="100%"/>
        <w:tblBorders>
          <w:top w:val="single" w:color="ddd0ba" w:sz="2"/>
          <w:left w:val="single" w:color="ddd0ba" w:sz="2"/>
          <w:bottom w:val="single" w:color="ddd0ba" w:sz="2"/>
          <w:right w:val="single" w:color="ddd0ba" w:sz="2"/>
          <w:insideH w:val="single" w:color="ddd0ba" w:sz="1"/>
          <w:insideV w:val="single" w:color="ddd0ba" w:sz="1"/>
        </w:tblBorders>
      </w:tblPr>
      <w:tblGrid>
        <w:gridCol w:w="100"/>
        <w:gridCol w:w="100"/>
        <w:gridCol w:w="100"/>
      </w:tblGrid>
      <w:tr>
        <w:tc>
          <w:tcPr>
            <w:tcW w:type="pct" w:w="38%"/>
            <w:shd w:fill="1c3a5e" w:val="clear"/>
            <w:tcMar>
              <w:top w:type="dxa" w:w="80"/>
              <w:left w:type="dxa" w:w="120"/>
              <w:bottom w:type="dxa" w:w="80"/>
              <w:right w:type="dxa" w:w="120"/>
            </w:tcMar>
          </w:tcPr>
          <w:p>
            <w:r>
              <w:rPr>
                <w:b/>
                <w:bCs/>
                <w:color w:val="FFFFFF"/>
                <w:sz w:val="20"/>
                <w:szCs w:val="20"/>
              </w:rPr>
              <w:t xml:space="preserve">Scénario</w:t>
            </w:r>
          </w:p>
        </w:tc>
        <w:tc>
          <w:tcPr>
            <w:tcW w:type="pct" w:w="32%"/>
            <w:shd w:fill="1c3a5e" w:val="clear"/>
            <w:tcMar>
              <w:top w:type="dxa" w:w="80"/>
              <w:left w:type="dxa" w:w="120"/>
              <w:bottom w:type="dxa" w:w="80"/>
              <w:right w:type="dxa" w:w="120"/>
            </w:tcMar>
          </w:tcPr>
          <w:p>
            <w:r>
              <w:rPr>
                <w:b/>
                <w:bCs/>
                <w:color w:val="FFFFFF"/>
                <w:sz w:val="20"/>
                <w:szCs w:val="20"/>
              </w:rPr>
              <w:t xml:space="preserve">Résultat attendu</w:t>
            </w:r>
          </w:p>
        </w:tc>
        <w:tc>
          <w:tcPr>
            <w:tcW w:type="pct" w:w="30%"/>
            <w:shd w:fill="1c3a5e" w:val="clear"/>
            <w:tcMar>
              <w:top w:type="dxa" w:w="80"/>
              <w:left w:type="dxa" w:w="120"/>
              <w:bottom w:type="dxa" w:w="80"/>
              <w:right w:type="dxa" w:w="120"/>
            </w:tcMar>
          </w:tcPr>
          <w:p>
            <w:r>
              <w:rPr>
                <w:b/>
                <w:bCs/>
                <w:color w:val="FFFFFF"/>
                <w:sz w:val="20"/>
                <w:szCs w:val="20"/>
              </w:rPr>
              <w:t xml:space="preserve">Résultat obtenu</w:t>
            </w:r>
          </w:p>
        </w:tc>
      </w:tr>
      <w:tr>
        <w:tc>
          <w:tcPr>
            <w:tcW w:type="pct" w:w="38%"/>
            <w:tcMar>
              <w:top w:type="dxa" w:w="80"/>
              <w:left w:type="dxa" w:w="120"/>
              <w:bottom w:type="dxa" w:w="80"/>
              <w:right w:type="dxa" w:w="120"/>
            </w:tcMar>
          </w:tcPr>
          <w:p>
            <w:r>
              <w:rPr>
                <w:b w:val="false"/>
                <w:bCs w:val="false"/>
                <w:color w:val="2b2620"/>
                <w:sz w:val="20"/>
                <w:szCs w:val="20"/>
              </w:rPr>
              <w:t xml:space="preserve">Un parent tente d'annuler le rendez-vous d'un autre parent (IDOR)</w:t>
            </w:r>
          </w:p>
        </w:tc>
        <w:tc>
          <w:tcPr>
            <w:tcW w:type="pct" w:w="32%"/>
            <w:tcMar>
              <w:top w:type="dxa" w:w="80"/>
              <w:left w:type="dxa" w:w="120"/>
              <w:bottom w:type="dxa" w:w="80"/>
              <w:right w:type="dxa" w:w="120"/>
            </w:tcMar>
          </w:tcPr>
          <w:p>
            <w:r>
              <w:rPr>
                <w:b w:val="false"/>
                <w:bCs w:val="false"/>
                <w:color w:val="2b2620"/>
                <w:sz w:val="20"/>
                <w:szCs w:val="20"/>
              </w:rPr>
              <w:t xml:space="preserve">Refus HTTP 403</w:t>
            </w:r>
          </w:p>
        </w:tc>
        <w:tc>
          <w:tcPr>
            <w:tcW w:type="pct" w:w="30%"/>
            <w:tcMar>
              <w:top w:type="dxa" w:w="80"/>
              <w:left w:type="dxa" w:w="120"/>
              <w:bottom w:type="dxa" w:w="80"/>
              <w:right w:type="dxa" w:w="120"/>
            </w:tcMar>
          </w:tcPr>
          <w:p>
            <w:r>
              <w:rPr>
                <w:b w:val="false"/>
                <w:bCs w:val="false"/>
                <w:color w:val="2b2620"/>
                <w:sz w:val="20"/>
                <w:szCs w:val="20"/>
              </w:rPr>
              <w:t xml:space="preserve">Conforme</w:t>
            </w:r>
          </w:p>
        </w:tc>
      </w:tr>
      <w:tr>
        <w:tc>
          <w:tcPr>
            <w:tcW w:type="pct" w:w="38%"/>
            <w:tcMar>
              <w:top w:type="dxa" w:w="80"/>
              <w:left w:type="dxa" w:w="120"/>
              <w:bottom w:type="dxa" w:w="80"/>
              <w:right w:type="dxa" w:w="120"/>
            </w:tcMar>
          </w:tcPr>
          <w:p>
            <w:r>
              <w:rPr>
                <w:b w:val="false"/>
                <w:bCs w:val="false"/>
                <w:color w:val="2b2620"/>
                <w:sz w:val="20"/>
                <w:szCs w:val="20"/>
              </w:rPr>
              <w:t xml:space="preserve">Deux patients tentent de réserver le même créneau simultanément</w:t>
            </w:r>
          </w:p>
        </w:tc>
        <w:tc>
          <w:tcPr>
            <w:tcW w:type="pct" w:w="32%"/>
            <w:tcMar>
              <w:top w:type="dxa" w:w="80"/>
              <w:left w:type="dxa" w:w="120"/>
              <w:bottom w:type="dxa" w:w="80"/>
              <w:right w:type="dxa" w:w="120"/>
            </w:tcMar>
          </w:tcPr>
          <w:p>
            <w:r>
              <w:rPr>
                <w:b w:val="false"/>
                <w:bCs w:val="false"/>
                <w:color w:val="2b2620"/>
                <w:sz w:val="20"/>
                <w:szCs w:val="20"/>
              </w:rPr>
              <w:t xml:space="preserve">Le second est refusé (HTTP 409)</w:t>
            </w:r>
          </w:p>
        </w:tc>
        <w:tc>
          <w:tcPr>
            <w:tcW w:type="pct" w:w="30%"/>
            <w:tcMar>
              <w:top w:type="dxa" w:w="80"/>
              <w:left w:type="dxa" w:w="120"/>
              <w:bottom w:type="dxa" w:w="80"/>
              <w:right w:type="dxa" w:w="120"/>
            </w:tcMar>
          </w:tcPr>
          <w:p>
            <w:r>
              <w:rPr>
                <w:b w:val="false"/>
                <w:bCs w:val="false"/>
                <w:color w:val="2b2620"/>
                <w:sz w:val="20"/>
                <w:szCs w:val="20"/>
              </w:rPr>
              <w:t xml:space="preserve">Conforme</w:t>
            </w:r>
          </w:p>
        </w:tc>
      </w:tr>
      <w:tr>
        <w:tc>
          <w:tcPr>
            <w:tcW w:type="pct" w:w="38%"/>
            <w:tcMar>
              <w:top w:type="dxa" w:w="80"/>
              <w:left w:type="dxa" w:w="120"/>
              <w:bottom w:type="dxa" w:w="80"/>
              <w:right w:type="dxa" w:w="120"/>
            </w:tcMar>
          </w:tcPr>
          <w:p>
            <w:r>
              <w:rPr>
                <w:b w:val="false"/>
                <w:bCs w:val="false"/>
                <w:color w:val="2b2620"/>
                <w:sz w:val="20"/>
                <w:szCs w:val="20"/>
              </w:rPr>
              <w:t xml:space="preserve">Déplacement d'un rendez-vous vers un créneau déjà occupé</w:t>
            </w:r>
          </w:p>
        </w:tc>
        <w:tc>
          <w:tcPr>
            <w:tcW w:type="pct" w:w="32%"/>
            <w:tcMar>
              <w:top w:type="dxa" w:w="80"/>
              <w:left w:type="dxa" w:w="120"/>
              <w:bottom w:type="dxa" w:w="80"/>
              <w:right w:type="dxa" w:w="120"/>
            </w:tcMar>
          </w:tcPr>
          <w:p>
            <w:r>
              <w:rPr>
                <w:b w:val="false"/>
                <w:bCs w:val="false"/>
                <w:color w:val="2b2620"/>
                <w:sz w:val="20"/>
                <w:szCs w:val="20"/>
              </w:rPr>
              <w:t xml:space="preserve">Refus HTTP 409</w:t>
            </w:r>
          </w:p>
        </w:tc>
        <w:tc>
          <w:tcPr>
            <w:tcW w:type="pct" w:w="30%"/>
            <w:tcMar>
              <w:top w:type="dxa" w:w="80"/>
              <w:left w:type="dxa" w:w="120"/>
              <w:bottom w:type="dxa" w:w="80"/>
              <w:right w:type="dxa" w:w="120"/>
            </w:tcMar>
          </w:tcPr>
          <w:p>
            <w:r>
              <w:rPr>
                <w:b w:val="false"/>
                <w:bCs w:val="false"/>
                <w:color w:val="2b2620"/>
                <w:sz w:val="20"/>
                <w:szCs w:val="20"/>
              </w:rPr>
              <w:t xml:space="preserve">Conforme</w:t>
            </w:r>
          </w:p>
        </w:tc>
      </w:tr>
      <w:tr>
        <w:tc>
          <w:tcPr>
            <w:tcW w:type="pct" w:w="38%"/>
            <w:tcMar>
              <w:top w:type="dxa" w:w="80"/>
              <w:left w:type="dxa" w:w="120"/>
              <w:bottom w:type="dxa" w:w="80"/>
              <w:right w:type="dxa" w:w="120"/>
            </w:tcMar>
          </w:tcPr>
          <w:p>
            <w:r>
              <w:rPr>
                <w:b w:val="false"/>
                <w:bCs w:val="false"/>
                <w:color w:val="2b2620"/>
                <w:sz w:val="20"/>
                <w:szCs w:val="20"/>
              </w:rPr>
              <w:t xml:space="preserve">Réservation ou déplacement vers une date passée</w:t>
            </w:r>
          </w:p>
        </w:tc>
        <w:tc>
          <w:tcPr>
            <w:tcW w:type="pct" w:w="32%"/>
            <w:tcMar>
              <w:top w:type="dxa" w:w="80"/>
              <w:left w:type="dxa" w:w="120"/>
              <w:bottom w:type="dxa" w:w="80"/>
              <w:right w:type="dxa" w:w="120"/>
            </w:tcMar>
          </w:tcPr>
          <w:p>
            <w:r>
              <w:rPr>
                <w:b w:val="false"/>
                <w:bCs w:val="false"/>
                <w:color w:val="2b2620"/>
                <w:sz w:val="20"/>
                <w:szCs w:val="20"/>
              </w:rPr>
              <w:t xml:space="preserve">Refus HTTP 400</w:t>
            </w:r>
          </w:p>
        </w:tc>
        <w:tc>
          <w:tcPr>
            <w:tcW w:type="pct" w:w="30%"/>
            <w:tcMar>
              <w:top w:type="dxa" w:w="80"/>
              <w:left w:type="dxa" w:w="120"/>
              <w:bottom w:type="dxa" w:w="80"/>
              <w:right w:type="dxa" w:w="120"/>
            </w:tcMar>
          </w:tcPr>
          <w:p>
            <w:r>
              <w:rPr>
                <w:b w:val="false"/>
                <w:bCs w:val="false"/>
                <w:color w:val="2b2620"/>
                <w:sz w:val="20"/>
                <w:szCs w:val="20"/>
              </w:rPr>
              <w:t xml:space="preserve">Conforme</w:t>
            </w:r>
          </w:p>
        </w:tc>
      </w:tr>
      <w:tr>
        <w:tc>
          <w:tcPr>
            <w:tcW w:type="pct" w:w="38%"/>
            <w:tcMar>
              <w:top w:type="dxa" w:w="80"/>
              <w:left w:type="dxa" w:w="120"/>
              <w:bottom w:type="dxa" w:w="80"/>
              <w:right w:type="dxa" w:w="120"/>
            </w:tcMar>
          </w:tcPr>
          <w:p>
            <w:r>
              <w:rPr>
                <w:b w:val="false"/>
                <w:bCs w:val="false"/>
                <w:color w:val="2b2620"/>
                <w:sz w:val="20"/>
                <w:szCs w:val="20"/>
              </w:rPr>
              <w:t xml:space="preserve">Un spécialiste tente d'accéder au module d'évaluation d'un patient</w:t>
            </w:r>
          </w:p>
        </w:tc>
        <w:tc>
          <w:tcPr>
            <w:tcW w:type="pct" w:w="32%"/>
            <w:tcMar>
              <w:top w:type="dxa" w:w="80"/>
              <w:left w:type="dxa" w:w="120"/>
              <w:bottom w:type="dxa" w:w="80"/>
              <w:right w:type="dxa" w:w="120"/>
            </w:tcMar>
          </w:tcPr>
          <w:p>
            <w:r>
              <w:rPr>
                <w:b w:val="false"/>
                <w:bCs w:val="false"/>
                <w:color w:val="2b2620"/>
                <w:sz w:val="20"/>
                <w:szCs w:val="20"/>
              </w:rPr>
              <w:t xml:space="preserve">Refus HTTP 403 (rôle non autorisé)</w:t>
            </w:r>
          </w:p>
        </w:tc>
        <w:tc>
          <w:tcPr>
            <w:tcW w:type="pct" w:w="30%"/>
            <w:tcMar>
              <w:top w:type="dxa" w:w="80"/>
              <w:left w:type="dxa" w:w="120"/>
              <w:bottom w:type="dxa" w:w="80"/>
              <w:right w:type="dxa" w:w="120"/>
            </w:tcMar>
          </w:tcPr>
          <w:p>
            <w:r>
              <w:rPr>
                <w:b w:val="false"/>
                <w:bCs w:val="false"/>
                <w:color w:val="2b2620"/>
                <w:sz w:val="20"/>
                <w:szCs w:val="20"/>
              </w:rPr>
              <w:t xml:space="preserve">Anomalie détectée puis corrigée — aucune restriction de rôle n'existait initialement sur ces routes</w:t>
            </w:r>
          </w:p>
        </w:tc>
      </w:tr>
      <w:tr>
        <w:tc>
          <w:tcPr>
            <w:tcW w:type="pct" w:w="38%"/>
            <w:tcMar>
              <w:top w:type="dxa" w:w="80"/>
              <w:left w:type="dxa" w:w="120"/>
              <w:bottom w:type="dxa" w:w="80"/>
              <w:right w:type="dxa" w:w="120"/>
            </w:tcMar>
          </w:tcPr>
          <w:p>
            <w:r>
              <w:rPr>
                <w:b w:val="false"/>
                <w:bCs w:val="false"/>
                <w:color w:val="2b2620"/>
                <w:sz w:val="20"/>
                <w:szCs w:val="20"/>
              </w:rPr>
              <w:t xml:space="preserve">Saisie d'un caractère spécial de type expression régulière dans un champ de recherche</w:t>
            </w:r>
          </w:p>
        </w:tc>
        <w:tc>
          <w:tcPr>
            <w:tcW w:type="pct" w:w="32%"/>
            <w:tcMar>
              <w:top w:type="dxa" w:w="80"/>
              <w:left w:type="dxa" w:w="120"/>
              <w:bottom w:type="dxa" w:w="80"/>
              <w:right w:type="dxa" w:w="120"/>
            </w:tcMar>
          </w:tcPr>
          <w:p>
            <w:r>
              <w:rPr>
                <w:b w:val="false"/>
                <w:bCs w:val="false"/>
                <w:color w:val="2b2620"/>
                <w:sz w:val="20"/>
                <w:szCs w:val="20"/>
              </w:rPr>
              <w:t xml:space="preserve">Résultat filtré normalement, sans erreur serveur</w:t>
            </w:r>
          </w:p>
        </w:tc>
        <w:tc>
          <w:tcPr>
            <w:tcW w:type="pct" w:w="30%"/>
            <w:tcMar>
              <w:top w:type="dxa" w:w="80"/>
              <w:left w:type="dxa" w:w="120"/>
              <w:bottom w:type="dxa" w:w="80"/>
              <w:right w:type="dxa" w:w="120"/>
            </w:tcMar>
          </w:tcPr>
          <w:p>
            <w:r>
              <w:rPr>
                <w:b w:val="false"/>
                <w:bCs w:val="false"/>
                <w:color w:val="2b2620"/>
                <w:sz w:val="20"/>
                <w:szCs w:val="20"/>
              </w:rPr>
              <w:t xml:space="preserve">Anomalie détectée (erreur 500) puis corrigée par échappement systématique des entrées</w:t>
            </w:r>
          </w:p>
        </w:tc>
      </w:tr>
    </w:tbl>
    <w:p>
      <w:pPr>
        <w:pStyle w:val="Heading2"/>
        <w:spacing w:after="150" w:before="300"/>
      </w:pPr>
      <w:r>
        <w:rPr>
          <w:color w:val="0d7a6f"/>
        </w:rPr>
        <w:t xml:space="preserve">5.3 Anomalies significatives corrigées</w:t>
      </w:r>
    </w:p>
    <w:p>
      <w:pPr>
        <w:spacing w:after="160" w:line="276"/>
        <w:jc w:val="both"/>
      </w:pPr>
      <w:r>
        <w:t xml:space="preserve">Au-delà des scénarios de sécurité, plusieurs anomalies fonctionnelles réelles ont été identifiées puis corrigées au cours des campagnes de vérification, parmi lesquelles :</w:t>
      </w:r>
    </w:p>
    <w:p>
      <w:pPr>
        <w:pStyle w:val="ListParagraph"/>
        <w:numPr>
          <w:ilvl w:val="0"/>
          <w:numId w:val="1"/>
        </w:numPr>
        <w:spacing w:after="90"/>
      </w:pPr>
      <w:r>
        <w:t xml:space="preserve">Un indicateur de niveau de risque resté figé sur « non évalué » en raison d'un désalignement entre les valeurs stockées en base et les valeurs attendues côté interface ;</w:t>
      </w:r>
    </w:p>
    <w:p>
      <w:pPr>
        <w:pStyle w:val="ListParagraph"/>
        <w:numPr>
          <w:ilvl w:val="0"/>
          <w:numId w:val="1"/>
        </w:numPr>
        <w:spacing w:after="90"/>
      </w:pPr>
      <w:r>
        <w:t xml:space="preserve">Un score d'historique adolescent systématiquement affiché à zéro, causé par une divergence de nom de champ entre le backend et le frontend ;</w:t>
      </w:r>
    </w:p>
    <w:p>
      <w:pPr>
        <w:pStyle w:val="ListParagraph"/>
        <w:numPr>
          <w:ilvl w:val="0"/>
          <w:numId w:val="1"/>
        </w:numPr>
        <w:spacing w:after="90"/>
      </w:pPr>
      <w:r>
        <w:t xml:space="preserve">Une conversion de fuseau horaire incorrecte lors de la sélection d'un créneau de téléconsultation, susceptible de faire réserver une heure différente de celle affichée ;</w:t>
      </w:r>
    </w:p>
    <w:p>
      <w:pPr>
        <w:pStyle w:val="ListParagraph"/>
        <w:numPr>
          <w:ilvl w:val="0"/>
          <w:numId w:val="1"/>
        </w:numPr>
        <w:spacing w:after="90"/>
      </w:pPr>
      <w:r>
        <w:t xml:space="preserve">Un mécanisme de recréation automatique de comptes de démonstration empêchant la suppression définitive de comptes spécialistes, corrigé après diagnostic pour rendre la suppression réellement définitive.</w:t>
      </w:r>
    </w:p>
    <w:p>
      <w:pPr>
        <w:spacing w:after="160" w:line="276"/>
        <w:jc w:val="both"/>
      </w:pPr>
      <w:r>
        <w:t xml:space="preserve">Ces corrections illustrent l'apport concret d'une démarche de vérification systématique en conditions réelles, plutôt qu'une simple validation déclarative des fonctionnalités.</w:t>
      </w:r>
    </w:p>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Conclusion générale et perspectives</w:t>
      </w:r>
    </w:p>
    <w:p>
      <w:pPr>
        <w:spacing w:after="160" w:line="276"/>
        <w:jc w:val="both"/>
      </w:pPr>
      <w:r>
        <w:t xml:space="preserve">Ce projet de fin d'études, réalisé au sein de la société Inspark, a permis de concevoir et de développer FamilyBalance, une plateforme web complète d'accompagnement familial à l'équilibre numérique. Six modules fonctionnels ont été implémentés — authentification sécurisée, suivi et évaluation, tableau de bord familial, espace éducatif, téléconsultation et administration — couvrant l'ensemble du parcours d'une famille, du questionnaire initial jusqu'à l'accompagnement par un spécialiste.</w:t>
      </w:r>
    </w:p>
    <w:p>
      <w:pPr>
        <w:spacing w:after="160" w:line="276"/>
        <w:jc w:val="both"/>
      </w:pPr>
      <w:r>
        <w:t xml:space="preserve">Au-delà de la réalisation fonctionnelle, ce stage a été l'occasion d'appliquer une discipline d'ingénierie exigeante en matière de sécurité (authentification à double facteur, chiffrement de bout en bout, contrôle d'accès systématiquement revérifié côté serveur) et de fiabilité des données, en cohérence directe avec la culture d'ingénierie observée chez Inspark. La démarche de vérification systématique en conditions réelles, plutôt que déclarative, a constitué l'un des apprentissages méthodologiques les plus significatifs de cette expérience.</w:t>
      </w:r>
    </w:p>
    <w:p>
      <w:pPr>
        <w:spacing w:after="160" w:line="276"/>
        <w:jc w:val="both"/>
      </w:pPr>
      <w:r>
        <w:t xml:space="preserve">Plusieurs pistes d'évolution restent envisageables pour prolonger ce travail : l'intégration d'un véritable canal de notification SMS (l'intégration Twilio explorée durant le projet a mis en évidence les contraintes réelles d'un tel choix — nécessité d'un numéro d'envoi provisionné, restrictions des comptes d'essai), la mise en place d'une messagerie directe entre parent et adolescent au sein même de l'application, ou encore l'introduction d'un mécanisme de comparaison anonymisée des scores par tranche d'âge, à l'image des approches de benchmarking observées chez des solutions concurrentes du secteur du contrôle parental.</w:t>
      </w:r>
    </w:p>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Bibliographie et webographie</w:t>
      </w:r>
    </w:p>
    <w:p>
      <w:pPr>
        <w:spacing w:after="160" w:line="276"/>
        <w:jc w:val="both"/>
      </w:pPr>
      <w:r>
        <w:t xml:space="preserve">[1] Documentation officielle Angular — https://angular.dev</w:t>
      </w:r>
    </w:p>
    <w:p>
      <w:pPr>
        <w:spacing w:after="160" w:line="276"/>
        <w:jc w:val="both"/>
      </w:pPr>
      <w:r>
        <w:t xml:space="preserve">[2] Documentation officielle Express.js — https://expressjs.com</w:t>
      </w:r>
    </w:p>
    <w:p>
      <w:pPr>
        <w:spacing w:after="160" w:line="276"/>
        <w:jc w:val="both"/>
      </w:pPr>
      <w:r>
        <w:t xml:space="preserve">[3] Documentation officielle Mongoose — https://mongoosejs.com</w:t>
      </w:r>
    </w:p>
    <w:p>
      <w:pPr>
        <w:spacing w:after="160" w:line="276"/>
        <w:jc w:val="both"/>
      </w:pPr>
      <w:r>
        <w:t xml:space="preserve">[4] Documentation JSON Web Tokens — https://jwt.io</w:t>
      </w:r>
    </w:p>
    <w:p>
      <w:pPr>
        <w:spacing w:after="160" w:line="276"/>
        <w:jc w:val="both"/>
      </w:pPr>
      <w:r>
        <w:t xml:space="preserve">[5] Site officiel Inspark — https://inspark.tn/fr</w:t>
      </w:r>
    </w:p>
    <w:p>
      <w:pPr>
        <w:spacing w:after="160" w:line="276"/>
        <w:jc w:val="both"/>
      </w:pPr>
      <w:r>
        <w:t xml:space="preserve">[6] Documentation Node.js crypto (module natif) — https://nodejs.org/api/crypto.html</w:t>
      </w:r>
    </w:p>
    <w:p>
      <w:pPr>
        <w:pStyle w:val="Heading1"/>
        <w:pageBreakBefore/>
        <w:spacing w:after="200" w:before="400"/>
      </w:pPr>
      <w:r>
        <w:rPr>
          <w:color w:val="1c3a5e"/>
        </w:rPr>
        <w:t xml:space="preserve">Annexe A — Diagrammes UML interactifs</w:t>
      </w:r>
    </w:p>
    <w:p>
      <w:pPr>
        <w:spacing w:after="160" w:line="276"/>
        <w:jc w:val="both"/>
      </w:pPr>
      <w:r>
        <w:t xml:space="preserve">Les versions interactives et intégrales des diagrammes UML présentés en synthèse dans ce rapport (diagramme de cas d'utilisation et diagramme de classes) sont disponibles en ligne aux adresses suivantes :</w:t>
      </w:r>
    </w:p>
    <w:p>
      <w:pPr>
        <w:pStyle w:val="ListParagraph"/>
        <w:numPr>
          <w:ilvl w:val="0"/>
          <w:numId w:val="1"/>
        </w:numPr>
        <w:spacing w:after="90"/>
      </w:pPr>
      <w:r>
        <w:t xml:space="preserve">Diagramme de cas d'utilisation : https://claude.ai/code/artifact/bd4ee188-accd-4c97-973f-d9540b9f549d</w:t>
      </w:r>
    </w:p>
    <w:p>
      <w:pPr>
        <w:pStyle w:val="ListParagraph"/>
        <w:numPr>
          <w:ilvl w:val="0"/>
          <w:numId w:val="1"/>
        </w:numPr>
        <w:spacing w:after="90"/>
      </w:pPr>
      <w:r>
        <w:t xml:space="preserve">Diagramme de classes : https://claude.ai/code/artifact/059d352a-78bd-4327-a06a-61f12864946f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rPr>
      <w:rFonts w:ascii="Georgia" w:cs="Georgia" w:eastAsia="Georgia" w:hAnsi="Georgia"/>
      <w:b/>
      <w:bCs/>
      <w:sz w:val="26"/>
      <w:szCs w:val="26"/>
    </w:rPr>
  </w:style>
  <w:style w:type="paragraph" w:styleId="Heading3">
    <w:name w:val="Heading 3"/>
    <w:basedOn w:val="Normal"/>
    <w:next w:val="Normal"/>
    <w:qFormat/>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2026-08-30T11:37:18.624Z</dcterms:created>
  <dcterms:modified xsi:type="dcterms:W3CDTF">2026-08-30T11:37:18.625Z</dcterms:modified>
</cp:coreProperties>
</file>

<file path=docProps/custom.xml><?xml version="1.0" encoding="utf-8"?>
<Properties xmlns="http://schemas.openxmlformats.org/officeDocument/2006/custom-properties" xmlns:vt="http://schemas.openxmlformats.org/officeDocument/2006/docPropsVTypes"/>
</file>