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1056" w14:textId="77777777" w:rsidR="005A2C0B" w:rsidRDefault="00000000">
      <w:pPr>
        <w:pStyle w:val="Heading1"/>
      </w:pPr>
      <w:r>
        <w:t>DFT Summary Report for Computer-Aided Drug Discovery Pipeline</w:t>
      </w:r>
    </w:p>
    <w:p w14:paraId="44B27B53" w14:textId="77777777" w:rsidR="005A2C0B" w:rsidRDefault="00000000">
      <w:r>
        <w:rPr>
          <w:b/>
        </w:rPr>
        <w:t>Compound: 2-(3,3-Dimethylbutyl)oxirane</w:t>
      </w:r>
      <w:r>
        <w:rPr>
          <w:b/>
        </w:rPr>
        <w:br/>
      </w:r>
      <w:r>
        <w:t>Application: Computational Drug Discovery (CADD)</w:t>
      </w:r>
      <w:r>
        <w:br/>
        <w:t>Method: DFT/B3LYP/6-311+G(d,p), OPT + FREQ</w:t>
      </w:r>
    </w:p>
    <w:p w14:paraId="0E31EEF4" w14:textId="77777777" w:rsidR="005A2C0B" w:rsidRDefault="00000000">
      <w:pPr>
        <w:pStyle w:val="Heading2"/>
      </w:pPr>
      <w:r>
        <w:t>Executive Summary</w:t>
      </w:r>
    </w:p>
    <w:p w14:paraId="2CA8CB47" w14:textId="77777777" w:rsidR="005A2C0B" w:rsidRDefault="00000000">
      <w:r>
        <w:t>This report summarizes the quantum chemical characterization of 2-(3,3-Dimethylbutyl)oxirane, a phytochemical isolated from Drimycarpus racemosus. The study was performed as part of a Computer-Aided Drug Discovery (CADD) workflow. Density Functional Theory (DFT) calculations were conducted to evaluate molecular stability, electronic properties, frontier molecular orbitals, molecular electrostatic potential, and global reactivity descriptors.</w:t>
      </w:r>
    </w:p>
    <w:p w14:paraId="628B24F4" w14:textId="77777777" w:rsidR="005A2C0B" w:rsidRDefault="00000000">
      <w:pPr>
        <w:pStyle w:val="Heading2"/>
      </w:pPr>
      <w:r>
        <w:t>Computational Workflow</w:t>
      </w:r>
    </w:p>
    <w:p w14:paraId="0F158D65" w14:textId="77777777" w:rsidR="005A2C0B" w:rsidRDefault="00000000">
      <w:r>
        <w:t>1. Structure retrieval from PubChem</w:t>
      </w:r>
      <w:r>
        <w:br/>
        <w:t>2. Structure cleaning and symmetrization using GaussView</w:t>
      </w:r>
      <w:r>
        <w:br/>
        <w:t>3. Conformational search and energy minimization using Gabedit</w:t>
      </w:r>
      <w:r>
        <w:br/>
        <w:t>4. Geometry optimization and frequency analysis using Gaussian 09W</w:t>
      </w:r>
      <w:r>
        <w:br/>
        <w:t>5. Frontier Molecular Orbital (HOMO/LUMO) analysis</w:t>
      </w:r>
      <w:r>
        <w:br/>
        <w:t>6. Molecular Electrostatic Potential (MEP) mapping</w:t>
      </w:r>
      <w:r>
        <w:br/>
        <w:t>7. Calculation of global reactivity descriptors</w:t>
      </w:r>
    </w:p>
    <w:p w14:paraId="48DE0C9F" w14:textId="77777777" w:rsidR="005A2C0B" w:rsidRDefault="00000000">
      <w:pPr>
        <w:pStyle w:val="Heading2"/>
      </w:pPr>
      <w:r>
        <w:t>Methodology</w:t>
      </w:r>
    </w:p>
    <w:p w14:paraId="0996FAB2" w14:textId="77777777" w:rsidR="005A2C0B" w:rsidRDefault="00000000">
      <w:r>
        <w:t>DFT calculations were performed using the B3LYP functional with the 6-311+G(d,p) basis set. Geometry optimization and frequency calculations (OPT+FREQ) confirmed a true minimum energy structure with no imaginary frequencies.</w:t>
      </w:r>
    </w:p>
    <w:p w14:paraId="001C245B" w14:textId="77777777" w:rsidR="005A2C0B" w:rsidRDefault="00000000">
      <w:pPr>
        <w:pStyle w:val="Heading2"/>
      </w:pPr>
      <w:r>
        <w:t>Key Results</w:t>
      </w:r>
    </w:p>
    <w:tbl>
      <w:tblPr>
        <w:tblW w:w="0" w:type="auto"/>
        <w:tblLook w:val="04A0" w:firstRow="1" w:lastRow="0" w:firstColumn="1" w:lastColumn="0" w:noHBand="0" w:noVBand="1"/>
      </w:tblPr>
      <w:tblGrid>
        <w:gridCol w:w="2880"/>
        <w:gridCol w:w="2880"/>
        <w:gridCol w:w="2880"/>
      </w:tblGrid>
      <w:tr w:rsidR="005A2C0B" w14:paraId="0492D55E" w14:textId="77777777">
        <w:tc>
          <w:tcPr>
            <w:tcW w:w="2880" w:type="dxa"/>
          </w:tcPr>
          <w:p w14:paraId="52AB788C" w14:textId="77777777" w:rsidR="005A2C0B" w:rsidRDefault="00000000">
            <w:r>
              <w:t>Parameter</w:t>
            </w:r>
          </w:p>
        </w:tc>
        <w:tc>
          <w:tcPr>
            <w:tcW w:w="2880" w:type="dxa"/>
          </w:tcPr>
          <w:p w14:paraId="173C6343" w14:textId="77777777" w:rsidR="005A2C0B" w:rsidRDefault="00000000">
            <w:r>
              <w:t>Value</w:t>
            </w:r>
          </w:p>
        </w:tc>
        <w:tc>
          <w:tcPr>
            <w:tcW w:w="2880" w:type="dxa"/>
          </w:tcPr>
          <w:p w14:paraId="02B8BF62" w14:textId="77777777" w:rsidR="005A2C0B" w:rsidRDefault="00000000">
            <w:r>
              <w:t>Interpretation</w:t>
            </w:r>
          </w:p>
        </w:tc>
      </w:tr>
      <w:tr w:rsidR="005A2C0B" w14:paraId="0F2E3B73" w14:textId="77777777">
        <w:tc>
          <w:tcPr>
            <w:tcW w:w="2880" w:type="dxa"/>
          </w:tcPr>
          <w:p w14:paraId="10102490" w14:textId="77777777" w:rsidR="005A2C0B" w:rsidRDefault="00000000">
            <w:r>
              <w:t>E</w:t>
            </w:r>
            <w:r w:rsidRPr="00FC2D09">
              <w:rPr>
                <w:vertAlign w:val="subscript"/>
              </w:rPr>
              <w:t>HOMO</w:t>
            </w:r>
          </w:p>
        </w:tc>
        <w:tc>
          <w:tcPr>
            <w:tcW w:w="2880" w:type="dxa"/>
          </w:tcPr>
          <w:p w14:paraId="56574F44" w14:textId="77777777" w:rsidR="005A2C0B" w:rsidRDefault="00000000">
            <w:r>
              <w:t>-7.4586 eV</w:t>
            </w:r>
          </w:p>
        </w:tc>
        <w:tc>
          <w:tcPr>
            <w:tcW w:w="2880" w:type="dxa"/>
          </w:tcPr>
          <w:p w14:paraId="6E88BFAD" w14:textId="77777777" w:rsidR="005A2C0B" w:rsidRDefault="00000000">
            <w:r>
              <w:t>Electron donating capability</w:t>
            </w:r>
          </w:p>
        </w:tc>
      </w:tr>
      <w:tr w:rsidR="005A2C0B" w14:paraId="48B749A7" w14:textId="77777777">
        <w:tc>
          <w:tcPr>
            <w:tcW w:w="2880" w:type="dxa"/>
          </w:tcPr>
          <w:p w14:paraId="7BAB57F5" w14:textId="77777777" w:rsidR="005A2C0B" w:rsidRDefault="00000000">
            <w:r>
              <w:t>E</w:t>
            </w:r>
            <w:r w:rsidRPr="00FC2D09">
              <w:rPr>
                <w:vertAlign w:val="subscript"/>
              </w:rPr>
              <w:t>LUMO</w:t>
            </w:r>
          </w:p>
        </w:tc>
        <w:tc>
          <w:tcPr>
            <w:tcW w:w="2880" w:type="dxa"/>
          </w:tcPr>
          <w:p w14:paraId="775A4025" w14:textId="77777777" w:rsidR="005A2C0B" w:rsidRDefault="00000000">
            <w:r>
              <w:t>-0.0332 eV</w:t>
            </w:r>
          </w:p>
        </w:tc>
        <w:tc>
          <w:tcPr>
            <w:tcW w:w="2880" w:type="dxa"/>
          </w:tcPr>
          <w:p w14:paraId="5C5BCC3E" w14:textId="77777777" w:rsidR="005A2C0B" w:rsidRDefault="00000000">
            <w:r>
              <w:t>Electron accepting capability</w:t>
            </w:r>
          </w:p>
        </w:tc>
      </w:tr>
      <w:tr w:rsidR="005A2C0B" w14:paraId="60DD9761" w14:textId="77777777">
        <w:tc>
          <w:tcPr>
            <w:tcW w:w="2880" w:type="dxa"/>
          </w:tcPr>
          <w:p w14:paraId="3A91716C" w14:textId="77777777" w:rsidR="005A2C0B" w:rsidRDefault="00000000">
            <w:r>
              <w:t>Energy Gap</w:t>
            </w:r>
          </w:p>
        </w:tc>
        <w:tc>
          <w:tcPr>
            <w:tcW w:w="2880" w:type="dxa"/>
          </w:tcPr>
          <w:p w14:paraId="78B90955" w14:textId="77777777" w:rsidR="005A2C0B" w:rsidRDefault="00000000">
            <w:r>
              <w:t>7.4254 eV</w:t>
            </w:r>
          </w:p>
        </w:tc>
        <w:tc>
          <w:tcPr>
            <w:tcW w:w="2880" w:type="dxa"/>
          </w:tcPr>
          <w:p w14:paraId="6DA7FE8F" w14:textId="77777777" w:rsidR="005A2C0B" w:rsidRDefault="00000000">
            <w:r>
              <w:t>High kinetic stability and low reactivity</w:t>
            </w:r>
          </w:p>
        </w:tc>
      </w:tr>
      <w:tr w:rsidR="005A2C0B" w14:paraId="3B39560C" w14:textId="77777777">
        <w:tc>
          <w:tcPr>
            <w:tcW w:w="2880" w:type="dxa"/>
          </w:tcPr>
          <w:p w14:paraId="30053F94" w14:textId="77777777" w:rsidR="005A2C0B" w:rsidRDefault="00000000">
            <w:r>
              <w:t>Chemical Hardness</w:t>
            </w:r>
          </w:p>
        </w:tc>
        <w:tc>
          <w:tcPr>
            <w:tcW w:w="2880" w:type="dxa"/>
          </w:tcPr>
          <w:p w14:paraId="5464D45A" w14:textId="77777777" w:rsidR="005A2C0B" w:rsidRDefault="00000000">
            <w:r>
              <w:t>3.7127 eV</w:t>
            </w:r>
          </w:p>
        </w:tc>
        <w:tc>
          <w:tcPr>
            <w:tcW w:w="2880" w:type="dxa"/>
          </w:tcPr>
          <w:p w14:paraId="3B335464" w14:textId="77777777" w:rsidR="005A2C0B" w:rsidRDefault="00000000">
            <w:r>
              <w:t>Strong resistance to polarization</w:t>
            </w:r>
          </w:p>
        </w:tc>
      </w:tr>
      <w:tr w:rsidR="005A2C0B" w14:paraId="03BFF383" w14:textId="77777777">
        <w:tc>
          <w:tcPr>
            <w:tcW w:w="2880" w:type="dxa"/>
          </w:tcPr>
          <w:p w14:paraId="21A6DC68" w14:textId="77777777" w:rsidR="005A2C0B" w:rsidRDefault="00000000">
            <w:r>
              <w:t>Chemical Softness</w:t>
            </w:r>
          </w:p>
        </w:tc>
        <w:tc>
          <w:tcPr>
            <w:tcW w:w="2880" w:type="dxa"/>
          </w:tcPr>
          <w:p w14:paraId="196257A7" w14:textId="77777777" w:rsidR="005A2C0B" w:rsidRDefault="00000000">
            <w:r>
              <w:t>0.1347</w:t>
            </w:r>
          </w:p>
        </w:tc>
        <w:tc>
          <w:tcPr>
            <w:tcW w:w="2880" w:type="dxa"/>
          </w:tcPr>
          <w:p w14:paraId="6CC95B49" w14:textId="77777777" w:rsidR="005A2C0B" w:rsidRDefault="00000000">
            <w:r>
              <w:t>Low polarizability</w:t>
            </w:r>
          </w:p>
        </w:tc>
      </w:tr>
      <w:tr w:rsidR="005A2C0B" w14:paraId="63342254" w14:textId="77777777">
        <w:tc>
          <w:tcPr>
            <w:tcW w:w="2880" w:type="dxa"/>
          </w:tcPr>
          <w:p w14:paraId="75EDA2F5" w14:textId="77777777" w:rsidR="005A2C0B" w:rsidRDefault="00000000">
            <w:r>
              <w:lastRenderedPageBreak/>
              <w:t>Electrophilicity Index</w:t>
            </w:r>
          </w:p>
        </w:tc>
        <w:tc>
          <w:tcPr>
            <w:tcW w:w="2880" w:type="dxa"/>
          </w:tcPr>
          <w:p w14:paraId="38917DF3" w14:textId="77777777" w:rsidR="005A2C0B" w:rsidRDefault="00000000">
            <w:r>
              <w:t>1.8897</w:t>
            </w:r>
          </w:p>
        </w:tc>
        <w:tc>
          <w:tcPr>
            <w:tcW w:w="2880" w:type="dxa"/>
          </w:tcPr>
          <w:p w14:paraId="4099B150" w14:textId="77777777" w:rsidR="005A2C0B" w:rsidRDefault="00000000">
            <w:r>
              <w:t>Moderate electrophilic character</w:t>
            </w:r>
          </w:p>
        </w:tc>
      </w:tr>
    </w:tbl>
    <w:p w14:paraId="6215C94E" w14:textId="77777777" w:rsidR="005A2C0B" w:rsidRDefault="00000000">
      <w:pPr>
        <w:pStyle w:val="Heading2"/>
      </w:pPr>
      <w:r>
        <w:t>Interpretation for Drug Discovery</w:t>
      </w:r>
    </w:p>
    <w:p w14:paraId="78D8988A" w14:textId="09165862" w:rsidR="005A2C0B" w:rsidRDefault="00000000">
      <w:r>
        <w:t xml:space="preserve">The large HOMO-LUMO energy gap indicates a chemically stable molecule with relatively low electronic reactivity. MEP analysis can be used to identify potential interaction sites for molecular docking studies, while the frontier orbital distribution provides insight into charge transfer behavior. These findings support the integration of this compound into downstream CADD pipelines including molecular docking, network pharmacology, ADMET prediction, and </w:t>
      </w:r>
      <w:r w:rsidR="00FC2D09">
        <w:t>Molecular dynamics simulation</w:t>
      </w:r>
      <w:r>
        <w:t>.</w:t>
      </w:r>
    </w:p>
    <w:p w14:paraId="2860D2DB" w14:textId="77777777" w:rsidR="005A2C0B" w:rsidRDefault="00000000">
      <w:pPr>
        <w:pStyle w:val="Heading2"/>
      </w:pPr>
      <w:r>
        <w:t>Conclusion</w:t>
      </w:r>
    </w:p>
    <w:p w14:paraId="2585E49E" w14:textId="77777777" w:rsidR="005A2C0B" w:rsidRDefault="00000000">
      <w:r>
        <w:t>The DFT analysis suggests that 2-(3,3-Dimethylbutyl)oxirane possesses favorable electronic stability and a defined reactivity profile. The generated descriptors provide a theoretical basis for further computational evaluation as a potential bioactive lead compound.</w:t>
      </w:r>
    </w:p>
    <w:sectPr w:rsidR="005A2C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734823">
    <w:abstractNumId w:val="8"/>
  </w:num>
  <w:num w:numId="2" w16cid:durableId="199052820">
    <w:abstractNumId w:val="6"/>
  </w:num>
  <w:num w:numId="3" w16cid:durableId="1313175267">
    <w:abstractNumId w:val="5"/>
  </w:num>
  <w:num w:numId="4" w16cid:durableId="704330129">
    <w:abstractNumId w:val="4"/>
  </w:num>
  <w:num w:numId="5" w16cid:durableId="531039997">
    <w:abstractNumId w:val="7"/>
  </w:num>
  <w:num w:numId="6" w16cid:durableId="1674839807">
    <w:abstractNumId w:val="3"/>
  </w:num>
  <w:num w:numId="7" w16cid:durableId="2080324026">
    <w:abstractNumId w:val="2"/>
  </w:num>
  <w:num w:numId="8" w16cid:durableId="1988241658">
    <w:abstractNumId w:val="1"/>
  </w:num>
  <w:num w:numId="9" w16cid:durableId="1546212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2C0B"/>
    <w:rsid w:val="00AA1D8D"/>
    <w:rsid w:val="00B47730"/>
    <w:rsid w:val="00CB0664"/>
    <w:rsid w:val="00F62304"/>
    <w:rsid w:val="00FC2D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13E51"/>
  <w14:defaultImageDpi w14:val="300"/>
  <w15:docId w15:val="{98F2B745-B443-4697-9A7F-2AAC41C66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Faruq Mohammed Tashriq</cp:lastModifiedBy>
  <cp:revision>2</cp:revision>
  <dcterms:created xsi:type="dcterms:W3CDTF">2013-12-23T23:15:00Z</dcterms:created>
  <dcterms:modified xsi:type="dcterms:W3CDTF">2026-06-15T14:20:00Z</dcterms:modified>
  <cp:category/>
</cp:coreProperties>
</file>