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60" w:before="0" w:line="240"/>
        <w:jc w:val="center"/>
      </w:pPr>
      <w:r>
        <w:rPr>
          <w:rFonts w:ascii="Inter" w:cs="Vazirmatn" w:eastAsia="Vazirmatn" w:hAnsi="Inter"/>
          <w:b/>
          <w:bCs/>
          <w:color w:val="0F2547"/>
          <w:sz w:val="22"/>
          <w:szCs w:val="22"/>
          <w:rtl/>
        </w:rPr>
        <w:t xml:space="preserve">بسمه تعالی</w:t>
      </w:r>
    </w:p>
    <w:p>
      <w:pPr>
        <w:bidi/>
        <w:spacing w:after="120" w:before="0" w:line="360"/>
        <w:jc w:val="both"/>
      </w:pPr>
      <w:r>
        <w:rPr>
          <w:rFonts w:ascii="Inter" w:cs="Vazirmatn" w:eastAsia="Vazirmatn" w:hAnsi="Inter"/>
          <w:color w:val="0F2547"/>
          <w:sz w:val="22"/>
          <w:szCs w:val="22"/>
          <w:rtl/>
        </w:rP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551" w:right="1247" w:bottom="1417" w:left="1247" w:header="737" w:footer="539" w:gutter="0"/>
      <w:pgNumType/>
      <w:titlePg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6"/>
      </w:pBdr>
      <w:bidi/>
      <w:spacing w:after="0" w:before="0" w:line="240"/>
      <w:jc w:val="center"/>
    </w:pPr>
    <w:r>
      <w:rPr>
        <w:rFonts w:ascii="Inter" w:cs="Vazirmatn" w:eastAsia="Vazirmatn" w:hAnsi="Inter"/>
        <w:color w:val="334663"/>
        <w:sz w:val="15"/>
        <w:szCs w:val="15"/>
        <w:rtl/>
      </w:rPr>
      <w:t xml:space="preserve">صندوق پژوهش و فناوری توسعه و آینده — </w:t>
    </w:r>
    <w:r>
      <w:rPr>
        <w:rFonts w:ascii="Inter" w:cs="Vazirmatn" w:eastAsia="Vazirmatn" w:hAnsi="Inter"/>
        <w:color w:val="334663"/>
        <w:sz w:val="15"/>
        <w:szCs w:val="15"/>
        <w:rtl w:val="false"/>
      </w:rPr>
      <w:t xml:space="preserve">tafund.ir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6"/>
      </w:pBdr>
      <w:bidi/>
      <w:spacing w:after="0" w:before="0" w:line="240"/>
      <w:jc w:val="start"/>
    </w:pPr>
  </w:p>
  <w:tbl>
    <w:tblPr>
      <w:bidiVisual/>
      <w:tblW w:type="dxa" w:w="9411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896"/>
      <w:gridCol w:w="3515"/>
    </w:tblGrid>
    <w:tr>
      <w:tc>
        <w:tcPr>
          <w:tcW w:type="dxa" w:w="589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 w:line="240"/>
            <w:jc w:val="start"/>
          </w:pPr>
          <w:r>
            <w:rPr>
              <w:rFonts w:ascii="Inter" w:cs="Vazirmatn" w:eastAsia="Vazirmatn" w:hAnsi="Inter"/>
              <w:color w:val="334663"/>
              <w:sz w:val="14"/>
              <w:szCs w:val="14"/>
              <w:rtl/>
            </w:rPr>
            <w:t xml:space="preserve">نشانی: تهران، خیابان استاد نجات الهی، خیابان استاد جعفر شهری (سپند سابق)، شماره ۱۶</w:t>
          </w:r>
        </w:p>
        <w:p>
          <w:pPr>
            <w:bidi/>
            <w:spacing w:after="0" w:before="0" w:line="240"/>
            <w:jc w:val="start"/>
          </w:pPr>
          <w:r>
            <w:rPr>
              <w:rFonts w:ascii="Inter" w:cs="Vazirmatn" w:eastAsia="Vazirmatn" w:hAnsi="Inter"/>
              <w:color w:val="334663"/>
              <w:sz w:val="14"/>
              <w:szCs w:val="14"/>
              <w:rtl/>
            </w:rPr>
            <w:t xml:space="preserve">تلفن: «TODO»</w:t>
          </w:r>
          <w:r>
            <w:rPr>
              <w:rFonts w:ascii="Inter" w:cs="Vazirmatn" w:eastAsia="Vazirmatn" w:hAnsi="Inter"/>
              <w:color w:val="C9A227"/>
              <w:sz w:val="15"/>
              <w:szCs w:val="15"/>
              <w:rtl/>
            </w:rPr>
            <w:t xml:space="preserve">  |  </w:t>
          </w:r>
          <w:r>
            <w:rPr>
              <w:rFonts w:ascii="Inter" w:cs="Vazirmatn" w:eastAsia="Vazirmatn" w:hAnsi="Inter"/>
              <w:color w:val="334663"/>
              <w:sz w:val="14"/>
              <w:szCs w:val="14"/>
              <w:rtl w:val="false"/>
            </w:rPr>
            <w:t xml:space="preserve">tafund.ir</w:t>
          </w:r>
        </w:p>
        <w:p>
          <w:pPr>
            <w:bidi/>
            <w:spacing w:after="0" w:before="0" w:line="240"/>
            <w:jc w:val="start"/>
          </w:pPr>
          <w:r>
            <w:rPr>
              <w:rFonts w:ascii="Inter" w:cs="Vazirmatn" w:eastAsia="Vazirmatn" w:hAnsi="Inter"/>
              <w:color w:val="334663"/>
              <w:sz w:val="14"/>
              <w:szCs w:val="14"/>
              <w:rtl/>
            </w:rPr>
            <w:t xml:space="preserve">شماره ثبت: «TODO»</w:t>
          </w:r>
          <w:r>
            <w:rPr>
              <w:rFonts w:ascii="Inter" w:cs="Vazirmatn" w:eastAsia="Vazirmatn" w:hAnsi="Inter"/>
              <w:color w:val="C9A227"/>
              <w:sz w:val="15"/>
              <w:szCs w:val="15"/>
              <w:rtl/>
            </w:rPr>
            <w:t xml:space="preserve">  |  </w:t>
          </w:r>
          <w:r>
            <w:rPr>
              <w:rFonts w:ascii="Inter" w:cs="Vazirmatn" w:eastAsia="Vazirmatn" w:hAnsi="Inter"/>
              <w:color w:val="334663"/>
              <w:sz w:val="14"/>
              <w:szCs w:val="14"/>
              <w:rtl/>
            </w:rPr>
            <w:t xml:space="preserve">شناسه ملی: «TODO»</w:t>
          </w:r>
        </w:p>
      </w:tc>
      <w:tc>
        <w:tcPr>
          <w:tcW w:type="dxa" w:w="351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 w:val="false"/>
            <w:spacing w:after="0" w:before="0" w:line="240"/>
            <w:jc w:val="left"/>
          </w:pPr>
          <w:r>
            <w:rPr>
              <w:rFonts w:ascii="Inter" w:cs="Vazirmatn" w:eastAsia="Vazirmatn" w:hAnsi="Inter"/>
              <w:color w:val="334663"/>
              <w:sz w:val="13"/>
              <w:szCs w:val="13"/>
              <w:rtl w:val="false"/>
            </w:rPr>
            <w:t xml:space="preserve">Address: «TODO»</w:t>
          </w:r>
        </w:p>
        <w:p>
          <w:pPr>
            <w:bidi w:val="false"/>
            <w:spacing w:after="0" w:before="0" w:line="240"/>
            <w:jc w:val="left"/>
          </w:pPr>
          <w:r>
            <w:rPr>
              <w:rFonts w:ascii="Inter" w:cs="Vazirmatn" w:eastAsia="Vazirmatn" w:hAnsi="Inter"/>
              <w:color w:val="334663"/>
              <w:sz w:val="13"/>
              <w:szCs w:val="13"/>
              <w:rtl w:val="false"/>
            </w:rPr>
            <w:t xml:space="preserve">Tel: «TODO»  |  tafund.ir</w:t>
          </w:r>
        </w:p>
        <w:p>
          <w:pPr>
            <w:bidi w:val="false"/>
            <w:spacing w:after="0" w:before="0" w:line="240"/>
            <w:jc w:val="left"/>
          </w:pPr>
          <w:r>
            <w:rPr>
              <w:rFonts w:ascii="Inter" w:cs="Vazirmatn" w:eastAsia="Vazirmatn" w:hAnsi="Inter"/>
              <w:color w:val="334663"/>
              <w:sz w:val="13"/>
              <w:szCs w:val="13"/>
              <w:rtl w:val="false"/>
            </w:rPr>
            <w:t xml:space="preserve">Reg. No: «TODO»  |  National ID: «TODO»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4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706"/>
      <w:gridCol w:w="4706"/>
    </w:tblGrid>
    <w:tr>
      <w:tc>
        <w:tcPr>
          <w:tcW w:type="dxa" w:w="47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 w:line="240" w:lineRule="atLeast"/>
            <w:jc w:val="start"/>
          </w:pPr>
          <w:r>
            <w:drawing>
              <wp:inline distT="0" distB="0" distL="0" distR="0">
                <wp:extent cx="540000" cy="24003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24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 w:line="240"/>
            <w:jc w:val="end"/>
          </w:pPr>
          <w:r>
            <w:rPr>
              <w:rFonts w:ascii="Inter" w:cs="Vazirmatn" w:eastAsia="Vazirmatn" w:hAnsi="Inter"/>
              <w:b/>
              <w:bCs/>
              <w:color w:val="0F2547"/>
              <w:sz w:val="18"/>
              <w:szCs w:val="18"/>
              <w:rtl/>
            </w:rPr>
            <w:t xml:space="preserve">صفحه </w:t>
            <w:fldChar w:fldCharType="begin"/>
            <w:instrText xml:space="preserve">PAGE</w:instrText>
            <w:fldChar w:fldCharType="separate"/>
            <w:fldChar w:fldCharType="end"/>
            <w:t xml:space="preserve"> از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41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17"/>
      <w:gridCol w:w="4535"/>
      <w:gridCol w:w="3458"/>
    </w:tblGrid>
    <w:tr>
      <w:tc>
        <w:tcPr>
          <w:tcW w:type="dxa" w:w="141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 w:line="240" w:lineRule="atLeast"/>
            <w:jc w:val="start"/>
          </w:pPr>
          <w:r>
            <w:drawing>
              <wp:inline distT="0" distB="0" distL="0" distR="0">
                <wp:extent cx="792000" cy="352044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000" cy="352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tcBorders>
            <w:top w:val="none" w:color="FFFFFF" w:sz="0"/>
            <w:left w:val="single" w:color="C9A227" w:sz="6"/>
            <w:bottom w:val="none" w:color="FFFFFF" w:sz="0"/>
            <w:right w:val="none" w:color="FFFFFF" w:sz="0"/>
          </w:tcBorders>
          <w:tcMar>
            <w:top w:type="dxa" w:w="0"/>
            <w:left w:type="dxa" w:w="170"/>
            <w:bottom w:type="dxa" w:w="0"/>
            <w:right w:type="dxa" w:w="0"/>
          </w:tcMar>
          <w:vAlign w:val="center"/>
        </w:tcPr>
        <w:p>
          <w:pPr>
            <w:bidi/>
            <w:spacing w:after="20" w:before="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25"/>
              <w:szCs w:val="25"/>
              <w:rtl/>
            </w:rPr>
            <w:t xml:space="preserve">صندوق پژوهش و فناوری توسعه و آینده</w:t>
          </w:r>
        </w:p>
        <w:p>
          <w:pPr>
            <w:bidi/>
            <w:spacing w:after="0" w:before="0" w:line="240"/>
            <w:jc w:val="start"/>
          </w:pPr>
          <w:r>
            <w:rPr>
              <w:rFonts w:ascii="Inter" w:cs="Vazirmatn" w:eastAsia="Vazirmatn" w:hAnsi="Inter"/>
              <w:color w:val="57667E"/>
              <w:sz w:val="17"/>
              <w:szCs w:val="17"/>
              <w:rtl/>
            </w:rPr>
            <w:t xml:space="preserve">سهامی خاص</w:t>
          </w:r>
        </w:p>
      </w:tc>
      <w:tc>
        <w:tcPr>
          <w:tcW w:type="dxa" w:w="345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 w:val="false"/>
            <w:spacing w:after="20" w:before="0" w:line="240"/>
            <w:jc w:val="left"/>
          </w:pPr>
          <w:r>
            <w:rPr>
              <w:rFonts w:ascii="Inter" w:cs="Vazirmatn" w:eastAsia="Vazirmatn" w:hAnsi="Inter"/>
              <w:b/>
              <w:bCs/>
              <w:color w:val="0F2547"/>
              <w:sz w:val="19"/>
              <w:szCs w:val="19"/>
              <w:rtl w:val="false"/>
            </w:rPr>
            <w:t xml:space="preserve">Tose’e &amp; Ayandeh Research and Technology Fund</w:t>
          </w:r>
        </w:p>
        <w:p>
          <w:pPr>
            <w:bidi w:val="false"/>
            <w:spacing w:after="0" w:before="0" w:line="240"/>
            <w:jc w:val="left"/>
          </w:pPr>
          <w:r>
            <w:rPr>
              <w:rFonts w:ascii="Inter" w:cs="Vazirmatn" w:eastAsia="Vazirmatn" w:hAnsi="Inter"/>
              <w:color w:val="57667E"/>
              <w:sz w:val="15"/>
              <w:szCs w:val="15"/>
              <w:rtl w:val="false"/>
            </w:rPr>
            <w:t xml:space="preserve">Private Joint-Stock Company</w:t>
          </w:r>
        </w:p>
      </w:tc>
    </w:tr>
  </w:tbl>
  <w:p>
    <w:pPr>
      <w:bidi/>
      <w:spacing w:after="60" w:before="0" w:line="240"/>
      <w:jc w:val="start"/>
    </w:pPr>
  </w:p>
  <w:tbl>
    <w:tblPr>
      <w:bidiVisual/>
      <w:tblW w:type="dxa" w:w="94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2608"/>
      <w:gridCol w:w="2268"/>
      <w:gridCol w:w="2268"/>
      <w:gridCol w:w="2268"/>
    </w:tblGrid>
    <w:tr>
      <w:tc>
        <w:tcPr>
          <w:tcW w:type="dxa" w:w="26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 w:line="240"/>
            <w:jc w:val="start"/>
          </w:pPr>
        </w:p>
      </w:tc>
      <w:tc>
        <w:tcPr>
          <w:tcW w:type="dxa" w:w="226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tabs>
              <w:tab w:val="end" w:pos="2211" w:leader="dot"/>
            </w:tabs>
            <w:bidi/>
            <w:spacing w:after="0" w:before="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17"/>
              <w:szCs w:val="17"/>
              <w:rtl/>
            </w:rPr>
            <w:t xml:space="preserve">شماره / </w:t>
          </w:r>
          <w:r>
            <w:rPr>
              <w:rFonts w:ascii="Inter" w:cs="Vazirmatn" w:eastAsia="Vazirmatn" w:hAnsi="Inter"/>
              <w:b/>
              <w:bCs/>
              <w:color w:val="0F2547"/>
              <w:sz w:val="16"/>
              <w:szCs w:val="16"/>
              <w:rtl w:val="false"/>
            </w:rPr>
            <w:t xml:space="preserve">No.</w:t>
          </w:r>
          <w:r>
            <w:rPr>
              <w:rFonts w:ascii="Inter" w:cs="Vazirmatn" w:eastAsia="Vazirmatn" w:hAnsi="Inter"/>
              <w:color w:val="7B879A"/>
              <w:sz w:val="17"/>
              <w:szCs w:val="17"/>
              <w:rtl/>
            </w:rPr>
            <w:t xml:space="preserve">	</w:t>
          </w:r>
        </w:p>
      </w:tc>
      <w:tc>
        <w:tcPr>
          <w:tcW w:type="dxa" w:w="226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tabs>
              <w:tab w:val="end" w:pos="2211" w:leader="dot"/>
            </w:tabs>
            <w:bidi/>
            <w:spacing w:after="0" w:before="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17"/>
              <w:szCs w:val="17"/>
              <w:rtl/>
            </w:rPr>
            <w:t xml:space="preserve">تاریخ / </w:t>
          </w:r>
          <w:r>
            <w:rPr>
              <w:rFonts w:ascii="Inter" w:cs="Vazirmatn" w:eastAsia="Vazirmatn" w:hAnsi="Inter"/>
              <w:b/>
              <w:bCs/>
              <w:color w:val="0F2547"/>
              <w:sz w:val="16"/>
              <w:szCs w:val="16"/>
              <w:rtl w:val="false"/>
            </w:rPr>
            <w:t xml:space="preserve">Date</w:t>
          </w:r>
          <w:r>
            <w:rPr>
              <w:rFonts w:ascii="Inter" w:cs="Vazirmatn" w:eastAsia="Vazirmatn" w:hAnsi="Inter"/>
              <w:color w:val="7B879A"/>
              <w:sz w:val="17"/>
              <w:szCs w:val="17"/>
              <w:rtl/>
            </w:rPr>
            <w:t xml:space="preserve">	</w:t>
          </w:r>
        </w:p>
      </w:tc>
      <w:tc>
        <w:tcPr>
          <w:tcW w:type="dxa" w:w="226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tabs>
              <w:tab w:val="end" w:pos="2211" w:leader="dot"/>
            </w:tabs>
            <w:bidi/>
            <w:spacing w:after="0" w:before="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17"/>
              <w:szCs w:val="17"/>
              <w:rtl/>
            </w:rPr>
            <w:t xml:space="preserve">پیوست / </w:t>
          </w:r>
          <w:r>
            <w:rPr>
              <w:rFonts w:ascii="Inter" w:cs="Vazirmatn" w:eastAsia="Vazirmatn" w:hAnsi="Inter"/>
              <w:b/>
              <w:bCs/>
              <w:color w:val="0F2547"/>
              <w:sz w:val="16"/>
              <w:szCs w:val="16"/>
              <w:rtl w:val="false"/>
            </w:rPr>
            <w:t xml:space="preserve">Encl.</w:t>
          </w:r>
          <w:r>
            <w:rPr>
              <w:rFonts w:ascii="Inter" w:cs="Vazirmatn" w:eastAsia="Vazirmatn" w:hAnsi="Inter"/>
              <w:color w:val="7B879A"/>
              <w:sz w:val="17"/>
              <w:szCs w:val="17"/>
              <w:rtl/>
            </w:rPr>
            <w:t xml:space="preserve">	</w:t>
          </w:r>
        </w:p>
      </w:tc>
    </w:tr>
  </w:tbl>
  <w:p>
    <w:pPr>
      <w:pBdr>
        <w:bottom w:val="single" w:color="C9A227" w:sz="7" w:space="1"/>
      </w:pBdr>
      <w:bidi/>
      <w:spacing w:after="0" w:before="120" w:line="240"/>
      <w:jc w:val="star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Vazirmatn" w:eastAsia="Vazirmatn" w:hAnsi="Inter"/>
        <w:color w:val="2B303A"/>
        <w:sz w:val="22"/>
        <w:szCs w:val="22"/>
        <w:rtl/>
        <w:lang w:val="en-US" w:bidi="fa-IR"/>
      </w:rPr>
    </w:rPrDefault>
    <w:pPrDefault>
      <w:pPr>
        <w:bidi/>
        <w:spacing w:after="120" w:line="360"/>
        <w:jc w:val="both"/>
      </w:pPr>
    </w:pPrDefault>
  </w:docDefaults>
  <w:style w:type="paragraph" w:default="1" w:styleId="Normal">
    <w:name w:val="Normal"/>
    <w:qFormat/>
    <w:pPr>
      <w:bidi/>
      <w:jc w:val="both"/>
    </w:pPr>
    <w:rPr>
      <w:rtl/>
    </w:rPr>
  </w:style>
  <w:style w:type="table" w:default="1" w:styleId="TableNormal">
    <w:name w:val="Normal Table"/>
    <w:uiPriority w:val="99"/>
    <w:semiHidden/>
    <w:unhideWhenUsed/>
    <w:pPr>
      <w:bidi/>
    </w:pPr>
    <w:tblPr>
      <w:bidiVisual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bidi/>
    </w:pPr>
    <w:tblPr>
      <w:bidiVisual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57aad919f4ce2416ad0a420f3ce9a94cacc4d2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657aad919f4ce2416ad0a420f3ce9a94cacc4d2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LH-04 سربرگ دوزبانه</dc:title>
  <dc:creator>صندوق پژوهش و فناوری توسعه و آینده</dc:creator>
  <cp:lastModifiedBy>Un-named</cp:lastModifiedBy>
  <cp:revision>1</cp:revision>
  <dcterms:created xsi:type="dcterms:W3CDTF">2026-10-03T06:47:51.972Z</dcterms:created>
  <dcterms:modified xsi:type="dcterms:W3CDTF">2026-10-03T06:47:51.972Z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