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Calibri" w:cs="Calibri" w:eastAsia="Calibri" w:hAnsi="Calibri"/>
          <w:b/>
          <w:bCs/>
          <w:color w:val="1E3A8A"/>
          <w:sz w:val="52"/>
          <w:szCs w:val="52"/>
        </w:rPr>
        <w:t xml:space="preserve">NEXUS CRM ENTERPRISE PLATFORM</w:t>
      </w:r>
    </w:p>
    <w:p>
      <w:pPr>
        <w:spacing w:after="800" w:before="0"/>
      </w:pPr>
      <w:r>
        <w:rPr>
          <w:rFonts w:ascii="Calibri" w:cs="Calibri" w:eastAsia="Calibri" w:hAnsi="Calibri"/>
          <w:b w:val="false"/>
          <w:bCs w:val="false"/>
          <w:color w:val="64748B"/>
          <w:sz w:val="26"/>
          <w:szCs w:val="26"/>
        </w:rPr>
        <w:t xml:space="preserve">Architecture Specifications, Business Workflows &amp; Technical Reference Manual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pct" w:w="1750"/>
            <w:tcBorders>
              <w:top w:val="single" w:color="CBD5E1" w:sz="1"/>
              <w:left w:val="single" w:color="CBD5E1" w:sz="1"/>
              <w:bottom w:val="single" w:color="CBD5E1" w:sz="1"/>
              <w:right w:val="single" w:color="CBD5E1" w:sz="1"/>
            </w:tcBorders>
            <w:shd w:fill="1E293B" w:val="clear"/>
            <w:tcMar>
              <w:top w:type="dxa" w:w="140"/>
              <w:left w:type="dxa" w:w="180"/>
              <w:bottom w:type="dxa" w:w="140"/>
              <w:right w:type="dxa" w:w="180"/>
            </w:tcMar>
          </w:tcPr>
          <w:p>
            <w:r>
              <w:rPr>
                <w:rFonts w:ascii="Calibri" w:cs="Calibri" w:eastAsia="Calibri" w:hAnsi="Calibri"/>
                <w:b/>
                <w:bCs/>
                <w:color w:val="FFFFFF"/>
                <w:sz w:val="20"/>
                <w:szCs w:val="20"/>
              </w:rPr>
              <w:t xml:space="preserve">Project Attribute</w:t>
            </w:r>
          </w:p>
        </w:tc>
        <w:tc>
          <w:tcPr>
            <w:tcW w:type="pct" w:w="3250"/>
            <w:tcBorders>
              <w:top w:val="single" w:color="CBD5E1" w:sz="1"/>
              <w:left w:val="single" w:color="CBD5E1" w:sz="1"/>
              <w:bottom w:val="single" w:color="CBD5E1" w:sz="1"/>
              <w:right w:val="single" w:color="CBD5E1" w:sz="1"/>
            </w:tcBorders>
            <w:shd w:fill="1E293B" w:val="clear"/>
            <w:tcMar>
              <w:top w:type="dxa" w:w="140"/>
              <w:left w:type="dxa" w:w="180"/>
              <w:bottom w:type="dxa" w:w="140"/>
              <w:right w:type="dxa" w:w="180"/>
            </w:tcMar>
          </w:tcPr>
          <w:p>
            <w:r>
              <w:rPr>
                <w:rFonts w:ascii="Calibri" w:cs="Calibri" w:eastAsia="Calibri" w:hAnsi="Calibri"/>
                <w:b/>
                <w:bCs/>
                <w:color w:val="FFFFFF"/>
                <w:sz w:val="20"/>
                <w:szCs w:val="20"/>
              </w:rPr>
              <w:t xml:space="preserve">Specification / Status</w:t>
            </w:r>
          </w:p>
        </w:tc>
      </w:tr>
      <w:tr>
        <w:tc>
          <w:tcPr>
            <w:tcW w:type="pct" w:w="1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bCs/>
                <w:color w:val="334155"/>
                <w:sz w:val="19"/>
                <w:szCs w:val="19"/>
              </w:rPr>
              <w:t xml:space="preserve">System Name</w:t>
            </w:r>
          </w:p>
        </w:tc>
        <w:tc>
          <w:tcPr>
            <w:tcW w:type="pct" w:w="32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NexusCRM Multi-Tenant Enterprise Platform</w:t>
            </w:r>
          </w:p>
        </w:tc>
      </w:tr>
      <w:tr>
        <w:tc>
          <w:tcPr>
            <w:tcW w:type="pct" w:w="1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bCs/>
                <w:color w:val="334155"/>
                <w:sz w:val="19"/>
                <w:szCs w:val="19"/>
              </w:rPr>
              <w:t xml:space="preserve">Release Version</w:t>
            </w:r>
          </w:p>
        </w:tc>
        <w:tc>
          <w:tcPr>
            <w:tcW w:type="pct" w:w="32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v1.2.0 (Enterprise Release — In-App Notifications &amp; Session Governance)</w:t>
            </w:r>
          </w:p>
        </w:tc>
      </w:tr>
      <w:tr>
        <w:tc>
          <w:tcPr>
            <w:tcW w:type="pct" w:w="1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bCs/>
                <w:color w:val="334155"/>
                <w:sz w:val="19"/>
                <w:szCs w:val="19"/>
              </w:rPr>
              <w:t xml:space="preserve">Core Technology Stack</w:t>
            </w:r>
          </w:p>
        </w:tc>
        <w:tc>
          <w:tcPr>
            <w:tcW w:type="pct" w:w="32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React 18 (Vite SPA) + Node.js/Express (ESM) + MongoDB Atlas + Redis/BullMQ</w:t>
            </w:r>
          </w:p>
        </w:tc>
      </w:tr>
      <w:tr>
        <w:tc>
          <w:tcPr>
            <w:tcW w:type="pct" w:w="1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bCs/>
                <w:color w:val="334155"/>
                <w:sz w:val="19"/>
                <w:szCs w:val="19"/>
              </w:rPr>
              <w:t xml:space="preserve">Architecture Pattern</w:t>
            </w:r>
          </w:p>
        </w:tc>
        <w:tc>
          <w:tcPr>
            <w:tcW w:type="pct" w:w="32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SaaS Multi-Tenant Separation + Service-Controller-Model + RBAC</w:t>
            </w:r>
          </w:p>
        </w:tc>
      </w:tr>
      <w:tr>
        <w:tc>
          <w:tcPr>
            <w:tcW w:type="pct" w:w="1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bCs/>
                <w:color w:val="334155"/>
                <w:sz w:val="19"/>
                <w:szCs w:val="19"/>
              </w:rPr>
              <w:t xml:space="preserve">Target Audience</w:t>
            </w:r>
          </w:p>
        </w:tc>
        <w:tc>
          <w:tcPr>
            <w:tcW w:type="pct" w:w="32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Client Stakeholders, Solution Architects, Student Academic Defense</w:t>
            </w:r>
          </w:p>
        </w:tc>
      </w:tr>
      <w:tr>
        <w:tc>
          <w:tcPr>
            <w:tcW w:type="pct" w:w="1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bCs/>
                <w:color w:val="334155"/>
                <w:sz w:val="19"/>
                <w:szCs w:val="19"/>
              </w:rPr>
              <w:t xml:space="preserve">Test Suite Coverage</w:t>
            </w:r>
          </w:p>
        </w:tc>
        <w:tc>
          <w:tcPr>
            <w:tcW w:type="pct" w:w="32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97/97 Unit &amp; Integration Tests Passing across 12 Test Suites (100% Pass Rate)</w:t>
            </w:r>
          </w:p>
        </w:tc>
      </w:tr>
    </w:tbl>
    <w:p>
      <w:pPr>
        <w:spacing w:after="200" w:before="6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059669" w:sz="24"/>
              <w:bottom w:val="none"/>
              <w:right w:val="none"/>
            </w:tcBorders>
            <w:shd w:fill="ECFDF5" w:val="clear"/>
            <w:tcMar>
              <w:top w:type="dxa" w:w="160"/>
              <w:left w:type="dxa" w:w="240"/>
              <w:bottom w:type="dxa" w:w="160"/>
              <w:right w:type="dxa" w:w="240"/>
            </w:tcMar>
          </w:tcPr>
          <w:p>
            <w:pPr>
              <w:spacing w:after="60" w:before="0"/>
            </w:pPr>
            <w:r>
              <w:rPr>
                <w:rFonts w:ascii="Calibri" w:cs="Calibri" w:eastAsia="Calibri" w:hAnsi="Calibri"/>
                <w:b/>
                <w:bCs/>
                <w:color w:val="059669"/>
                <w:sz w:val="22"/>
                <w:szCs w:val="22"/>
              </w:rPr>
              <w:t xml:space="preserve">Executive Note</w:t>
            </w:r>
          </w:p>
          <w:p>
            <w:pPr>
              <w:spacing w:after="0" w:before="0" w:line="260"/>
            </w:pPr>
            <w:r>
              <w:rPr>
                <w:rFonts w:ascii="Calibri" w:cs="Calibri" w:eastAsia="Calibri" w:hAnsi="Calibri"/>
                <w:color w:val="334155"/>
                <w:sz w:val="20"/>
                <w:szCs w:val="20"/>
              </w:rPr>
              <w:t xml:space="preserve">This document provides an end-to-end technical and operational breakdown of the NexusCRM platform. It is formatted specifically for stakeholder evaluation, architectural reviews, student capstone presentations, and commercial onboarding.</w:t>
            </w:r>
          </w:p>
        </w:tc>
      </w:tr>
    </w:tbl>
    <w:p>
      <w:pPr>
        <w:pStyle w:val="Heading1"/>
        <w:spacing w:after="180" w:before="400"/>
      </w:pPr>
      <w:r>
        <w:rPr>
          <w:rFonts w:ascii="Calibri" w:cs="Calibri" w:eastAsia="Calibri" w:hAnsi="Calibri"/>
          <w:b/>
          <w:bCs/>
          <w:color w:val="1E3A8A"/>
          <w:sz w:val="32"/>
          <w:szCs w:val="32"/>
        </w:rPr>
        <w:t xml:space="preserve">1. Executive Summary &amp; Project Purpose</w:t>
      </w:r>
    </w:p>
    <w:p>
      <w:pPr>
        <w:spacing w:after="120" w:before="80" w:line="280"/>
      </w:pPr>
      <w:r>
        <w:rPr>
          <w:rFonts w:ascii="Calibri" w:cs="Calibri" w:eastAsia="Calibri" w:hAnsi="Calibri"/>
          <w:color w:val="334155"/>
          <w:sz w:val="22"/>
          <w:szCs w:val="22"/>
        </w:rPr>
        <w:t xml:space="preserve">NexusCRM is a production-grade, multi-tenant B2B Customer Relationship Management (CRM) platform engineered to streamline sales cycles, automate customer engagement, and provide C-level forecasting accuracy. Designed from the ground up to replace fragmented enterprise tooling, the platform unifies lead capture, scoring, account management, visual pipeline Kanban boards, quotations with PDF generation, omnichannel email marketing, and automated activity audit trails into an ultra-fast, responsive web interface.</w:t>
      </w:r>
    </w:p>
    <w:p>
      <w:pPr>
        <w:spacing w:after="120" w:before="80" w:line="280"/>
      </w:pPr>
      <w:r>
        <w:rPr>
          <w:rFonts w:ascii="Calibri" w:cs="Calibri" w:eastAsia="Calibri" w:hAnsi="Calibri"/>
          <w:color w:val="334155"/>
          <w:sz w:val="22"/>
          <w:szCs w:val="22"/>
        </w:rPr>
        <w:t xml:space="preserve">Modern sales teams face severe friction when transitioning opportunities across isolated tools. NexusCRM solves this by providing a unified data model that links leads directly to accounts, contacts, deals, activities, and commercial quotes, guaranteeing complete 360-degree customer context at every touchpoint.</w:t>
      </w:r>
    </w:p>
    <w:p>
      <w:pPr>
        <w:pStyle w:val="Heading2"/>
        <w:spacing w:after="120" w:before="280"/>
      </w:pPr>
      <w:r>
        <w:rPr>
          <w:rFonts w:ascii="Calibri" w:cs="Calibri" w:eastAsia="Calibri" w:hAnsi="Calibri"/>
          <w:b/>
          <w:bCs/>
          <w:color w:val="0F172A"/>
          <w:sz w:val="26"/>
          <w:szCs w:val="26"/>
        </w:rPr>
        <w:t xml:space="preserve">Key Business Objectives Delivered</w:t>
      </w:r>
    </w:p>
    <w:p>
      <w:pPr>
        <w:pStyle w:val="ListParagraph"/>
        <w:numPr>
          <w:ilvl w:val="0"/>
          <w:numId w:val="1"/>
        </w:numPr>
        <w:spacing w:after="60" w:before="60" w:line="260"/>
      </w:pPr>
      <w:r>
        <w:rPr>
          <w:rFonts w:ascii="Calibri" w:cs="Calibri" w:eastAsia="Calibri" w:hAnsi="Calibri"/>
          <w:b/>
          <w:bCs/>
          <w:color w:val="0F172A"/>
          <w:sz w:val="21"/>
          <w:szCs w:val="21"/>
        </w:rPr>
        <w:t xml:space="preserve">Tenant Security:</w:t>
      </w:r>
      <w:r>
        <w:rPr>
          <w:rFonts w:ascii="Calibri" w:cs="Calibri" w:eastAsia="Calibri" w:hAnsi="Calibri"/>
          <w:color w:val="334155"/>
          <w:sz w:val="21"/>
          <w:szCs w:val="21"/>
        </w:rPr>
        <w:t xml:space="preserve"> Multi-Tenant Data Isolation ensuring each client organization operates in a strictly scoped logical database boundary with no risk of cross-tenant leakage.</w:t>
      </w:r>
    </w:p>
    <w:p>
      <w:pPr>
        <w:pStyle w:val="ListParagraph"/>
        <w:numPr>
          <w:ilvl w:val="0"/>
          <w:numId w:val="1"/>
        </w:numPr>
        <w:spacing w:after="60" w:before="60" w:line="260"/>
      </w:pPr>
      <w:r>
        <w:rPr>
          <w:rFonts w:ascii="Calibri" w:cs="Calibri" w:eastAsia="Calibri" w:hAnsi="Calibri"/>
          <w:b/>
          <w:bCs/>
          <w:color w:val="0F172A"/>
          <w:sz w:val="21"/>
          <w:szCs w:val="21"/>
        </w:rPr>
        <w:t xml:space="preserve">AI-Powered Lead Scoring:</w:t>
      </w:r>
      <w:r>
        <w:rPr>
          <w:rFonts w:ascii="Calibri" w:cs="Calibri" w:eastAsia="Calibri" w:hAnsi="Calibri"/>
          <w:color w:val="334155"/>
          <w:sz w:val="21"/>
          <w:szCs w:val="21"/>
        </w:rPr>
        <w:t xml:space="preserve"> Real-time lead grading utilizing behavioral, demographic, and firmographic scoring rules to prioritize high-intent opportunities.</w:t>
      </w:r>
    </w:p>
    <w:p>
      <w:pPr>
        <w:pStyle w:val="ListParagraph"/>
        <w:numPr>
          <w:ilvl w:val="0"/>
          <w:numId w:val="1"/>
        </w:numPr>
        <w:spacing w:after="60" w:before="60" w:line="260"/>
      </w:pPr>
      <w:r>
        <w:rPr>
          <w:rFonts w:ascii="Calibri" w:cs="Calibri" w:eastAsia="Calibri" w:hAnsi="Calibri"/>
          <w:b/>
          <w:bCs/>
          <w:color w:val="0F172A"/>
          <w:sz w:val="21"/>
          <w:szCs w:val="21"/>
        </w:rPr>
        <w:t xml:space="preserve">Visual Sales Velocity:</w:t>
      </w:r>
      <w:r>
        <w:rPr>
          <w:rFonts w:ascii="Calibri" w:cs="Calibri" w:eastAsia="Calibri" w:hAnsi="Calibri"/>
          <w:color w:val="334155"/>
          <w:sz w:val="21"/>
          <w:szCs w:val="21"/>
        </w:rPr>
        <w:t xml:space="preserve"> Drag-and-drop opportunity tracking with dynamic stage probabilities and revenue cohort forecasting.</w:t>
      </w:r>
    </w:p>
    <w:p>
      <w:pPr>
        <w:pStyle w:val="ListParagraph"/>
        <w:numPr>
          <w:ilvl w:val="0"/>
          <w:numId w:val="1"/>
        </w:numPr>
        <w:spacing w:after="60" w:before="60" w:line="260"/>
      </w:pPr>
      <w:r>
        <w:rPr>
          <w:rFonts w:ascii="Calibri" w:cs="Calibri" w:eastAsia="Calibri" w:hAnsi="Calibri"/>
          <w:b/>
          <w:bCs/>
          <w:color w:val="0F172A"/>
          <w:sz w:val="21"/>
          <w:szCs w:val="21"/>
        </w:rPr>
        <w:t xml:space="preserve">Quotation &amp; Document Automation:</w:t>
      </w:r>
      <w:r>
        <w:rPr>
          <w:rFonts w:ascii="Calibri" w:cs="Calibri" w:eastAsia="Calibri" w:hAnsi="Calibri"/>
          <w:color w:val="334155"/>
          <w:sz w:val="21"/>
          <w:szCs w:val="21"/>
        </w:rPr>
        <w:t xml:space="preserve"> Multi-item proposal generation with dynamic PDF rendering, discount approval gates, and email distribution.</w:t>
      </w:r>
    </w:p>
    <w:p>
      <w:pPr>
        <w:pStyle w:val="ListParagraph"/>
        <w:numPr>
          <w:ilvl w:val="0"/>
          <w:numId w:val="1"/>
        </w:numPr>
        <w:spacing w:after="60" w:before="60" w:line="260"/>
      </w:pPr>
      <w:r>
        <w:rPr>
          <w:rFonts w:ascii="Calibri" w:cs="Calibri" w:eastAsia="Calibri" w:hAnsi="Calibri"/>
          <w:b/>
          <w:bCs/>
          <w:color w:val="0F172A"/>
          <w:sz w:val="21"/>
          <w:szCs w:val="21"/>
        </w:rPr>
        <w:t xml:space="preserve">Marketing Intelligence:</w:t>
      </w:r>
      <w:r>
        <w:rPr>
          <w:rFonts w:ascii="Calibri" w:cs="Calibri" w:eastAsia="Calibri" w:hAnsi="Calibri"/>
          <w:color w:val="334155"/>
          <w:sz w:val="21"/>
          <w:szCs w:val="21"/>
        </w:rPr>
        <w:t xml:space="preserve"> Campaign scheduling with 1x1 invisible pixel tracking for real-time email open and link click attribution.</w:t>
      </w:r>
    </w:p>
    <w:p>
      <w:pPr>
        <w:pStyle w:val="ListParagraph"/>
        <w:numPr>
          <w:ilvl w:val="0"/>
          <w:numId w:val="1"/>
        </w:numPr>
        <w:spacing w:after="60" w:before="60" w:line="260"/>
      </w:pPr>
      <w:r>
        <w:rPr>
          <w:rFonts w:ascii="Calibri" w:cs="Calibri" w:eastAsia="Calibri" w:hAnsi="Calibri"/>
          <w:b/>
          <w:bCs/>
          <w:color w:val="0F172A"/>
          <w:sz w:val="21"/>
          <w:szCs w:val="21"/>
        </w:rPr>
        <w:t xml:space="preserve">Governance &amp; Auditing:</w:t>
      </w:r>
      <w:r>
        <w:rPr>
          <w:rFonts w:ascii="Calibri" w:cs="Calibri" w:eastAsia="Calibri" w:hAnsi="Calibri"/>
          <w:color w:val="334155"/>
          <w:sz w:val="21"/>
          <w:szCs w:val="21"/>
        </w:rPr>
        <w:t xml:space="preserve"> Full audit trail logging of all user activities, status changes, and data modifications for compliance.</w:t>
      </w:r>
    </w:p>
    <w:p>
      <w:pPr>
        <w:pStyle w:val="ListParagraph"/>
        <w:numPr>
          <w:ilvl w:val="0"/>
          <w:numId w:val="1"/>
        </w:numPr>
        <w:spacing w:after="60" w:before="60" w:line="260"/>
      </w:pPr>
      <w:r>
        <w:rPr>
          <w:rFonts w:ascii="Calibri" w:cs="Calibri" w:eastAsia="Calibri" w:hAnsi="Calibri"/>
          <w:b/>
          <w:bCs/>
          <w:color w:val="0F172A"/>
          <w:sz w:val="21"/>
          <w:szCs w:val="21"/>
        </w:rPr>
        <w:t xml:space="preserve">In-App Notification Center:</w:t>
      </w:r>
      <w:r>
        <w:rPr>
          <w:rFonts w:ascii="Calibri" w:cs="Calibri" w:eastAsia="Calibri" w:hAnsi="Calibri"/>
          <w:color w:val="334155"/>
          <w:sz w:val="21"/>
          <w:szCs w:val="21"/>
        </w:rPr>
        <w:t xml:space="preserve"> Dynamic notification center alerting agents to won deals, quote approvals, and assigned leads with unread count badges.</w:t>
      </w:r>
    </w:p>
    <w:p>
      <w:pPr>
        <w:pStyle w:val="ListParagraph"/>
        <w:numPr>
          <w:ilvl w:val="0"/>
          <w:numId w:val="1"/>
        </w:numPr>
        <w:spacing w:after="60" w:before="60" w:line="260"/>
      </w:pPr>
      <w:r>
        <w:rPr>
          <w:rFonts w:ascii="Calibri" w:cs="Calibri" w:eastAsia="Calibri" w:hAnsi="Calibri"/>
          <w:b/>
          <w:bCs/>
          <w:color w:val="0F172A"/>
          <w:sz w:val="21"/>
          <w:szCs w:val="21"/>
        </w:rPr>
        <w:t xml:space="preserve">Account &amp; Session Governance:</w:t>
      </w:r>
      <w:r>
        <w:rPr>
          <w:rFonts w:ascii="Calibri" w:cs="Calibri" w:eastAsia="Calibri" w:hAnsi="Calibri"/>
          <w:color w:val="334155"/>
          <w:sz w:val="21"/>
          <w:szCs w:val="21"/>
        </w:rPr>
        <w:t xml:space="preserve"> Granular profile management, password security checks, and active device session tracking with remote revocation.</w:t>
      </w:r>
    </w:p>
    <w:p>
      <w:pPr>
        <w:pStyle w:val="ListParagraph"/>
        <w:numPr>
          <w:ilvl w:val="0"/>
          <w:numId w:val="1"/>
        </w:numPr>
        <w:spacing w:after="60" w:before="60" w:line="260"/>
      </w:pPr>
      <w:r>
        <w:rPr>
          <w:rFonts w:ascii="Calibri" w:cs="Calibri" w:eastAsia="Calibri" w:hAnsi="Calibri"/>
          <w:b/>
          <w:bCs/>
          <w:color w:val="0F172A"/>
          <w:sz w:val="21"/>
          <w:szCs w:val="21"/>
        </w:rPr>
        <w:t xml:space="preserve">Executive Command Dashboard:</w:t>
      </w:r>
      <w:r>
        <w:rPr>
          <w:rFonts w:ascii="Calibri" w:cs="Calibri" w:eastAsia="Calibri" w:hAnsi="Calibri"/>
          <w:color w:val="334155"/>
          <w:sz w:val="21"/>
          <w:szCs w:val="21"/>
        </w:rPr>
        <w:t xml:space="preserve"> High-level KPI widgets, visual stage-by-stage conversion funnels, prioritized deals, hot leads, and action queues.</w:t>
      </w:r>
    </w:p>
    <w:p>
      <w:pPr>
        <w:pStyle w:val="Heading1"/>
        <w:spacing w:after="180" w:before="400"/>
      </w:pPr>
      <w:r>
        <w:rPr>
          <w:rFonts w:ascii="Calibri" w:cs="Calibri" w:eastAsia="Calibri" w:hAnsi="Calibri"/>
          <w:b/>
          <w:bCs/>
          <w:color w:val="1E3A8A"/>
          <w:sz w:val="32"/>
          <w:szCs w:val="32"/>
        </w:rPr>
        <w:t xml:space="preserve">2. System Architecture &amp; Technical Topology</w:t>
      </w:r>
    </w:p>
    <w:p>
      <w:pPr>
        <w:spacing w:after="120" w:before="80" w:line="280"/>
      </w:pPr>
      <w:r>
        <w:rPr>
          <w:rFonts w:ascii="Calibri" w:cs="Calibri" w:eastAsia="Calibri" w:hAnsi="Calibri"/>
          <w:color w:val="334155"/>
          <w:sz w:val="22"/>
          <w:szCs w:val="22"/>
        </w:rPr>
        <w:t xml:space="preserve">The platform follows a decoupled, three-tier cloud architecture designed for scalability, zero downtime, and maintainability.</w:t>
      </w:r>
    </w:p>
    <w:p>
      <w:pPr>
        <w:pStyle w:val="Heading2"/>
        <w:spacing w:after="120" w:before="280"/>
      </w:pPr>
      <w:r>
        <w:rPr>
          <w:rFonts w:ascii="Calibri" w:cs="Calibri" w:eastAsia="Calibri" w:hAnsi="Calibri"/>
          <w:b/>
          <w:bCs/>
          <w:color w:val="0F172A"/>
          <w:sz w:val="26"/>
          <w:szCs w:val="26"/>
        </w:rPr>
        <w:t xml:space="preserve">Architectural Layers</w:t>
      </w:r>
    </w:p>
    <w:p>
      <w:pPr>
        <w:pStyle w:val="ListParagraph"/>
        <w:numPr>
          <w:ilvl w:val="0"/>
          <w:numId w:val="1"/>
        </w:numPr>
        <w:spacing w:after="60" w:before="60" w:line="260"/>
      </w:pPr>
      <w:r>
        <w:rPr>
          <w:rFonts w:ascii="Calibri" w:cs="Calibri" w:eastAsia="Calibri" w:hAnsi="Calibri"/>
          <w:b/>
          <w:bCs/>
          <w:color w:val="0F172A"/>
          <w:sz w:val="21"/>
          <w:szCs w:val="21"/>
        </w:rPr>
        <w:t xml:space="preserve">1. Presentation Tier (Client SPA):</w:t>
      </w:r>
      <w:r>
        <w:rPr>
          <w:rFonts w:ascii="Calibri" w:cs="Calibri" w:eastAsia="Calibri" w:hAnsi="Calibri"/>
          <w:color w:val="334155"/>
          <w:sz w:val="21"/>
          <w:szCs w:val="21"/>
        </w:rPr>
        <w:t xml:space="preserve"> Built with React 18, Vite, TailwindCSS, and Zustand. Utilizes React Router for client routing, Lucide icons for micro-interactions, and custom Axios interceptors for seamless JWT token rotation and Bearer authentication.</w:t>
      </w:r>
    </w:p>
    <w:p>
      <w:pPr>
        <w:pStyle w:val="ListParagraph"/>
        <w:numPr>
          <w:ilvl w:val="0"/>
          <w:numId w:val="1"/>
        </w:numPr>
        <w:spacing w:after="60" w:before="60" w:line="260"/>
      </w:pPr>
      <w:r>
        <w:rPr>
          <w:rFonts w:ascii="Calibri" w:cs="Calibri" w:eastAsia="Calibri" w:hAnsi="Calibri"/>
          <w:b/>
          <w:bCs/>
          <w:color w:val="0F172A"/>
          <w:sz w:val="21"/>
          <w:szCs w:val="21"/>
        </w:rPr>
        <w:t xml:space="preserve">2. Application Tier (API Server):</w:t>
      </w:r>
      <w:r>
        <w:rPr>
          <w:rFonts w:ascii="Calibri" w:cs="Calibri" w:eastAsia="Calibri" w:hAnsi="Calibri"/>
          <w:color w:val="334155"/>
          <w:sz w:val="21"/>
          <w:szCs w:val="21"/>
        </w:rPr>
        <w:t xml:space="preserve"> Built with Node.js (ES Modules) and Express. Implements a strict Controller-Service-Model design pattern. Employs Helmet security headers, rate limiters, NoSQL injection sanitizers, and comprehensive Morgan/Winston structured logging.</w:t>
      </w:r>
    </w:p>
    <w:p>
      <w:pPr>
        <w:pStyle w:val="ListParagraph"/>
        <w:numPr>
          <w:ilvl w:val="0"/>
          <w:numId w:val="1"/>
        </w:numPr>
        <w:spacing w:after="60" w:before="60" w:line="260"/>
      </w:pPr>
      <w:r>
        <w:rPr>
          <w:rFonts w:ascii="Calibri" w:cs="Calibri" w:eastAsia="Calibri" w:hAnsi="Calibri"/>
          <w:b/>
          <w:bCs/>
          <w:color w:val="0F172A"/>
          <w:sz w:val="21"/>
          <w:szCs w:val="21"/>
        </w:rPr>
        <w:t xml:space="preserve">3. Persistence Tier (Database):</w:t>
      </w:r>
      <w:r>
        <w:rPr>
          <w:rFonts w:ascii="Calibri" w:cs="Calibri" w:eastAsia="Calibri" w:hAnsi="Calibri"/>
          <w:color w:val="334155"/>
          <w:sz w:val="21"/>
          <w:szCs w:val="21"/>
        </w:rPr>
        <w:t xml:space="preserve"> Powered by MongoDB Atlas (Mongoose ODM). Leverages compound indexes, text search indexes, and tenant-scoped collection filters for sub-50ms query latency.</w:t>
      </w:r>
    </w:p>
    <w:p>
      <w:pPr>
        <w:pStyle w:val="ListParagraph"/>
        <w:numPr>
          <w:ilvl w:val="0"/>
          <w:numId w:val="1"/>
        </w:numPr>
        <w:spacing w:after="60" w:before="60" w:line="260"/>
      </w:pPr>
      <w:r>
        <w:rPr>
          <w:rFonts w:ascii="Calibri" w:cs="Calibri" w:eastAsia="Calibri" w:hAnsi="Calibri"/>
          <w:b/>
          <w:bCs/>
          <w:color w:val="0F172A"/>
          <w:sz w:val="21"/>
          <w:szCs w:val="21"/>
        </w:rPr>
        <w:t xml:space="preserve">4. Asynchronous Worker Tier:</w:t>
      </w:r>
      <w:r>
        <w:rPr>
          <w:rFonts w:ascii="Calibri" w:cs="Calibri" w:eastAsia="Calibri" w:hAnsi="Calibri"/>
          <w:color w:val="334155"/>
          <w:sz w:val="21"/>
          <w:szCs w:val="21"/>
        </w:rPr>
        <w:t xml:space="preserve"> Redis BullMQ background message queues for scheduled reminders and drip campaigns, with an automatic MongoDB fallback poller when running in zero-dependency environments.</w:t>
      </w:r>
    </w:p>
    <w:p>
      <w:pPr>
        <w:pStyle w:val="Heading2"/>
        <w:spacing w:after="120" w:before="280"/>
      </w:pPr>
      <w:r>
        <w:rPr>
          <w:rFonts w:ascii="Calibri" w:cs="Calibri" w:eastAsia="Calibri" w:hAnsi="Calibri"/>
          <w:b/>
          <w:bCs/>
          <w:color w:val="0F172A"/>
          <w:sz w:val="26"/>
          <w:szCs w:val="26"/>
        </w:rPr>
        <w:t xml:space="preserve">Technology Stack Summary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3159"/>
        <w:gridCol w:w="3610"/>
      </w:tblGrid>
      <w:tr>
        <w:tc>
          <w:tcPr>
            <w:tcW w:type="pct" w:w="1250"/>
            <w:tcBorders>
              <w:top w:val="single" w:color="CBD5E1" w:sz="1"/>
              <w:left w:val="single" w:color="CBD5E1" w:sz="1"/>
              <w:bottom w:val="single" w:color="CBD5E1" w:sz="1"/>
              <w:right w:val="single" w:color="CBD5E1" w:sz="1"/>
            </w:tcBorders>
            <w:shd w:fill="1E293B" w:val="clear"/>
            <w:tcMar>
              <w:top w:type="dxa" w:w="140"/>
              <w:left w:type="dxa" w:w="180"/>
              <w:bottom w:type="dxa" w:w="140"/>
              <w:right w:type="dxa" w:w="180"/>
            </w:tcMar>
          </w:tcPr>
          <w:p>
            <w:r>
              <w:rPr>
                <w:rFonts w:ascii="Calibri" w:cs="Calibri" w:eastAsia="Calibri" w:hAnsi="Calibri"/>
                <w:b/>
                <w:bCs/>
                <w:color w:val="FFFFFF"/>
                <w:sz w:val="20"/>
                <w:szCs w:val="20"/>
              </w:rPr>
              <w:t xml:space="preserve">Layer</w:t>
            </w:r>
          </w:p>
        </w:tc>
        <w:tc>
          <w:tcPr>
            <w:tcW w:type="pct" w:w="1750"/>
            <w:tcBorders>
              <w:top w:val="single" w:color="CBD5E1" w:sz="1"/>
              <w:left w:val="single" w:color="CBD5E1" w:sz="1"/>
              <w:bottom w:val="single" w:color="CBD5E1" w:sz="1"/>
              <w:right w:val="single" w:color="CBD5E1" w:sz="1"/>
            </w:tcBorders>
            <w:shd w:fill="1E293B" w:val="clear"/>
            <w:tcMar>
              <w:top w:type="dxa" w:w="140"/>
              <w:left w:type="dxa" w:w="180"/>
              <w:bottom w:type="dxa" w:w="140"/>
              <w:right w:type="dxa" w:w="180"/>
            </w:tcMar>
          </w:tcPr>
          <w:p>
            <w:r>
              <w:rPr>
                <w:rFonts w:ascii="Calibri" w:cs="Calibri" w:eastAsia="Calibri" w:hAnsi="Calibri"/>
                <w:b/>
                <w:bCs/>
                <w:color w:val="FFFFFF"/>
                <w:sz w:val="20"/>
                <w:szCs w:val="20"/>
              </w:rPr>
              <w:t xml:space="preserve">Technology / Library</w:t>
            </w:r>
          </w:p>
        </w:tc>
        <w:tc>
          <w:tcPr>
            <w:tcW w:type="pct" w:w="2000"/>
            <w:tcBorders>
              <w:top w:val="single" w:color="CBD5E1" w:sz="1"/>
              <w:left w:val="single" w:color="CBD5E1" w:sz="1"/>
              <w:bottom w:val="single" w:color="CBD5E1" w:sz="1"/>
              <w:right w:val="single" w:color="CBD5E1" w:sz="1"/>
            </w:tcBorders>
            <w:shd w:fill="1E293B" w:val="clear"/>
            <w:tcMar>
              <w:top w:type="dxa" w:w="140"/>
              <w:left w:type="dxa" w:w="180"/>
              <w:bottom w:type="dxa" w:w="140"/>
              <w:right w:type="dxa" w:w="180"/>
            </w:tcMar>
          </w:tcPr>
          <w:p>
            <w:r>
              <w:rPr>
                <w:rFonts w:ascii="Calibri" w:cs="Calibri" w:eastAsia="Calibri" w:hAnsi="Calibri"/>
                <w:b/>
                <w:bCs/>
                <w:color w:val="FFFFFF"/>
                <w:sz w:val="20"/>
                <w:szCs w:val="20"/>
              </w:rPr>
              <w:t xml:space="preserve">Strategic Purpose</w:t>
            </w:r>
          </w:p>
        </w:tc>
      </w:tr>
      <w:tr>
        <w:tc>
          <w:tcPr>
            <w:tcW w:type="pct" w:w="12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bCs/>
                <w:color w:val="334155"/>
                <w:sz w:val="19"/>
                <w:szCs w:val="19"/>
              </w:rPr>
              <w:t xml:space="preserve">Frontend Core</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React 18 + Vite</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Instant HMR, tree-shaking, lightweight production bundle</w:t>
            </w:r>
          </w:p>
        </w:tc>
      </w:tr>
      <w:tr>
        <w:tc>
          <w:tcPr>
            <w:tcW w:type="pct" w:w="12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bCs/>
                <w:color w:val="334155"/>
                <w:sz w:val="19"/>
                <w:szCs w:val="19"/>
              </w:rPr>
              <w:t xml:space="preserve">Styling &amp; UI</w:t>
            </w:r>
          </w:p>
        </w:tc>
        <w:tc>
          <w:tcPr>
            <w:tcW w:type="pct" w:w="1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TailwindCSS + Lucide React</w:t>
            </w:r>
          </w:p>
        </w:tc>
        <w:tc>
          <w:tcPr>
            <w:tcW w:type="pct" w:w="20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Curated dark/light theme tokens, responsive ergonomics</w:t>
            </w:r>
          </w:p>
        </w:tc>
      </w:tr>
      <w:tr>
        <w:tc>
          <w:tcPr>
            <w:tcW w:type="pct" w:w="12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bCs/>
                <w:color w:val="334155"/>
                <w:sz w:val="19"/>
                <w:szCs w:val="19"/>
              </w:rPr>
              <w:t xml:space="preserve">Client State</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Zustand</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Zero-boilerplate centralized state for auth and UI modals</w:t>
            </w:r>
          </w:p>
        </w:tc>
      </w:tr>
      <w:tr>
        <w:tc>
          <w:tcPr>
            <w:tcW w:type="pct" w:w="12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bCs/>
                <w:color w:val="334155"/>
                <w:sz w:val="19"/>
                <w:szCs w:val="19"/>
              </w:rPr>
              <w:t xml:space="preserve">Backend Core</w:t>
            </w:r>
          </w:p>
        </w:tc>
        <w:tc>
          <w:tcPr>
            <w:tcW w:type="pct" w:w="1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Node.js 20+ / Express (ESM)</w:t>
            </w:r>
          </w:p>
        </w:tc>
        <w:tc>
          <w:tcPr>
            <w:tcW w:type="pct" w:w="20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Modern modular JavaScript, non-blocking I/O event loop</w:t>
            </w:r>
          </w:p>
        </w:tc>
      </w:tr>
      <w:tr>
        <w:tc>
          <w:tcPr>
            <w:tcW w:type="pct" w:w="12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bCs/>
                <w:color w:val="334155"/>
                <w:sz w:val="19"/>
                <w:szCs w:val="19"/>
              </w:rPr>
              <w:t xml:space="preserve">Primary Database</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MongoDB Atlas + Mongoose 8</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Flexible JSON schemas, native aggregation pipelines</w:t>
            </w:r>
          </w:p>
        </w:tc>
      </w:tr>
      <w:tr>
        <w:tc>
          <w:tcPr>
            <w:tcW w:type="pct" w:w="12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bCs/>
                <w:color w:val="334155"/>
                <w:sz w:val="19"/>
                <w:szCs w:val="19"/>
              </w:rPr>
              <w:t xml:space="preserve">Security &amp; Auth</w:t>
            </w:r>
          </w:p>
        </w:tc>
        <w:tc>
          <w:tcPr>
            <w:tcW w:type="pct" w:w="1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JWT + BcryptJS + Helmet</w:t>
            </w:r>
          </w:p>
        </w:tc>
        <w:tc>
          <w:tcPr>
            <w:tcW w:type="pct" w:w="20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HttpOnly SameSite=None cookies + Bearer token fallback</w:t>
            </w:r>
          </w:p>
        </w:tc>
      </w:tr>
      <w:tr>
        <w:tc>
          <w:tcPr>
            <w:tcW w:type="pct" w:w="12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bCs/>
                <w:color w:val="334155"/>
                <w:sz w:val="19"/>
                <w:szCs w:val="19"/>
              </w:rPr>
              <w:t xml:space="preserve">PDF Generation</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PDFKit</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On-the-fly streaming of custom enterprise quotations</w:t>
            </w:r>
          </w:p>
        </w:tc>
      </w:tr>
      <w:tr>
        <w:tc>
          <w:tcPr>
            <w:tcW w:type="pct" w:w="12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bCs/>
                <w:color w:val="334155"/>
                <w:sz w:val="19"/>
                <w:szCs w:val="19"/>
              </w:rPr>
              <w:t xml:space="preserve">Job Queue</w:t>
            </w:r>
          </w:p>
        </w:tc>
        <w:tc>
          <w:tcPr>
            <w:tcW w:type="pct" w:w="1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BullMQ / Redis + Fallback</w:t>
            </w:r>
          </w:p>
        </w:tc>
        <w:tc>
          <w:tcPr>
            <w:tcW w:type="pct" w:w="20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Reliable asynchronous scheduling &amp; email delivery</w:t>
            </w:r>
          </w:p>
        </w:tc>
      </w:tr>
    </w:tbl>
    <w:p>
      <w:pPr>
        <w:pStyle w:val="Heading1"/>
        <w:spacing w:after="180" w:before="400"/>
      </w:pPr>
      <w:r>
        <w:rPr>
          <w:rFonts w:ascii="Calibri" w:cs="Calibri" w:eastAsia="Calibri" w:hAnsi="Calibri"/>
          <w:b/>
          <w:bCs/>
          <w:color w:val="1E3A8A"/>
          <w:sz w:val="32"/>
          <w:szCs w:val="32"/>
        </w:rPr>
        <w:t xml:space="preserve">3. Core Functional Workflows &amp; Modules</w:t>
      </w:r>
    </w:p>
    <w:p>
      <w:pPr>
        <w:pStyle w:val="Heading2"/>
        <w:spacing w:after="120" w:before="280"/>
      </w:pPr>
      <w:r>
        <w:rPr>
          <w:rFonts w:ascii="Calibri" w:cs="Calibri" w:eastAsia="Calibri" w:hAnsi="Calibri"/>
          <w:b/>
          <w:bCs/>
          <w:color w:val="0F172A"/>
          <w:sz w:val="26"/>
          <w:szCs w:val="26"/>
        </w:rPr>
        <w:t xml:space="preserve">Module 1: Authentication &amp; Role-Based Access Control (RBAC)</w:t>
      </w:r>
    </w:p>
    <w:p>
      <w:pPr>
        <w:spacing w:after="120" w:before="80" w:line="280"/>
      </w:pPr>
      <w:r>
        <w:rPr>
          <w:rFonts w:ascii="Calibri" w:cs="Calibri" w:eastAsia="Calibri" w:hAnsi="Calibri"/>
          <w:color w:val="334155"/>
          <w:sz w:val="22"/>
          <w:szCs w:val="22"/>
        </w:rPr>
        <w:t xml:space="preserve">NexusCRM enforces a strict multi-tenant boundary model. Every authenticated user belongs to exactly one tenant. Incoming HTTP requests are intercepted by authMiddleware and rbacMiddleware, which extract the verified JWT, resolve the tenant context, and authorize access against granular permission matrices.</w:t>
      </w:r>
    </w:p>
    <w:p>
      <w:pPr>
        <w:pStyle w:val="ListParagraph"/>
        <w:numPr>
          <w:ilvl w:val="0"/>
          <w:numId w:val="1"/>
        </w:numPr>
        <w:spacing w:after="60" w:before="60" w:line="260"/>
      </w:pPr>
      <w:r>
        <w:rPr>
          <w:rFonts w:ascii="Calibri" w:cs="Calibri" w:eastAsia="Calibri" w:hAnsi="Calibri"/>
          <w:b/>
          <w:bCs/>
          <w:color w:val="0F172A"/>
          <w:sz w:val="21"/>
          <w:szCs w:val="21"/>
        </w:rPr>
        <w:t xml:space="preserve">Admin:</w:t>
      </w:r>
      <w:r>
        <w:rPr>
          <w:rFonts w:ascii="Calibri" w:cs="Calibri" w:eastAsia="Calibri" w:hAnsi="Calibri"/>
          <w:color w:val="334155"/>
          <w:sz w:val="21"/>
          <w:szCs w:val="21"/>
        </w:rPr>
        <w:t xml:space="preserve"> Full administrative control over users, teams, settings, audit logs, and company-wide configurations.</w:t>
      </w:r>
    </w:p>
    <w:p>
      <w:pPr>
        <w:pStyle w:val="ListParagraph"/>
        <w:numPr>
          <w:ilvl w:val="0"/>
          <w:numId w:val="1"/>
        </w:numPr>
        <w:spacing w:after="60" w:before="60" w:line="260"/>
      </w:pPr>
      <w:r>
        <w:rPr>
          <w:rFonts w:ascii="Calibri" w:cs="Calibri" w:eastAsia="Calibri" w:hAnsi="Calibri"/>
          <w:b/>
          <w:bCs/>
          <w:color w:val="0F172A"/>
          <w:sz w:val="21"/>
          <w:szCs w:val="21"/>
        </w:rPr>
        <w:t xml:space="preserve">Sales Manager:</w:t>
      </w:r>
      <w:r>
        <w:rPr>
          <w:rFonts w:ascii="Calibri" w:cs="Calibri" w:eastAsia="Calibri" w:hAnsi="Calibri"/>
          <w:color w:val="334155"/>
          <w:sz w:val="21"/>
          <w:szCs w:val="21"/>
        </w:rPr>
        <w:t xml:space="preserve"> Pipeline oversight, team assignment, quotation discount approvals, and performance leaderboard analytics.</w:t>
      </w:r>
    </w:p>
    <w:p>
      <w:pPr>
        <w:pStyle w:val="ListParagraph"/>
        <w:numPr>
          <w:ilvl w:val="0"/>
          <w:numId w:val="1"/>
        </w:numPr>
        <w:spacing w:after="60" w:before="60" w:line="260"/>
      </w:pPr>
      <w:r>
        <w:rPr>
          <w:rFonts w:ascii="Calibri" w:cs="Calibri" w:eastAsia="Calibri" w:hAnsi="Calibri"/>
          <w:b/>
          <w:bCs/>
          <w:color w:val="0F172A"/>
          <w:sz w:val="21"/>
          <w:szCs w:val="21"/>
        </w:rPr>
        <w:t xml:space="preserve">Sales Executive:</w:t>
      </w:r>
      <w:r>
        <w:rPr>
          <w:rFonts w:ascii="Calibri" w:cs="Calibri" w:eastAsia="Calibri" w:hAnsi="Calibri"/>
          <w:color w:val="334155"/>
          <w:sz w:val="21"/>
          <w:szCs w:val="21"/>
        </w:rPr>
        <w:t xml:space="preserve"> Full access to assigned leads, opportunities, activities, and quote generation.</w:t>
      </w:r>
    </w:p>
    <w:p>
      <w:pPr>
        <w:pStyle w:val="ListParagraph"/>
        <w:numPr>
          <w:ilvl w:val="0"/>
          <w:numId w:val="1"/>
        </w:numPr>
        <w:spacing w:after="60" w:before="60" w:line="260"/>
      </w:pPr>
      <w:r>
        <w:rPr>
          <w:rFonts w:ascii="Calibri" w:cs="Calibri" w:eastAsia="Calibri" w:hAnsi="Calibri"/>
          <w:b/>
          <w:bCs/>
          <w:color w:val="0F172A"/>
          <w:sz w:val="21"/>
          <w:szCs w:val="21"/>
        </w:rPr>
        <w:t xml:space="preserve">Support / Read-Only:</w:t>
      </w:r>
      <w:r>
        <w:rPr>
          <w:rFonts w:ascii="Calibri" w:cs="Calibri" w:eastAsia="Calibri" w:hAnsi="Calibri"/>
          <w:color w:val="334155"/>
          <w:sz w:val="21"/>
          <w:szCs w:val="21"/>
        </w:rPr>
        <w:t xml:space="preserve"> Read-only visibility into customers, accounts, and knowledge records without mutation privileges.</w:t>
      </w:r>
    </w:p>
    <w:p>
      <w:pPr>
        <w:pStyle w:val="Heading2"/>
        <w:spacing w:after="120" w:before="280"/>
      </w:pPr>
      <w:r>
        <w:rPr>
          <w:rFonts w:ascii="Calibri" w:cs="Calibri" w:eastAsia="Calibri" w:hAnsi="Calibri"/>
          <w:b/>
          <w:bCs/>
          <w:color w:val="0F172A"/>
          <w:sz w:val="26"/>
          <w:szCs w:val="26"/>
        </w:rPr>
        <w:t xml:space="preserve">Module 2: Lead Ingestion, Scoring &amp; Auto-Conversion Pipeline</w:t>
      </w:r>
    </w:p>
    <w:p>
      <w:pPr>
        <w:spacing w:after="120" w:before="80" w:line="280"/>
      </w:pPr>
      <w:r>
        <w:rPr>
          <w:rFonts w:ascii="Calibri" w:cs="Calibri" w:eastAsia="Calibri" w:hAnsi="Calibri"/>
          <w:color w:val="334155"/>
          <w:sz w:val="22"/>
          <w:szCs w:val="22"/>
        </w:rPr>
        <w:t xml:space="preserve">Leads enter the system through multiple channels: manual UI creation, bulk CSV/Excel import, or automated public webhooks (Web-to-Lead forms). Each lead is automatically evaluated by the leadScoringService, which computes an intent score (0–100) based on weighted rules:</w:t>
      </w:r>
    </w:p>
    <w:p>
      <w:pPr>
        <w:pStyle w:val="ListParagraph"/>
        <w:numPr>
          <w:ilvl w:val="0"/>
          <w:numId w:val="1"/>
        </w:numPr>
        <w:spacing w:after="60" w:before="60" w:line="260"/>
      </w:pPr>
      <w:r>
        <w:rPr>
          <w:rFonts w:ascii="Calibri" w:cs="Calibri" w:eastAsia="Calibri" w:hAnsi="Calibri"/>
          <w:b/>
          <w:bCs/>
          <w:color w:val="0F172A"/>
          <w:sz w:val="21"/>
          <w:szCs w:val="21"/>
        </w:rPr>
        <w:t xml:space="preserve">Job Title Weight:</w:t>
      </w:r>
      <w:r>
        <w:rPr>
          <w:rFonts w:ascii="Calibri" w:cs="Calibri" w:eastAsia="Calibri" w:hAnsi="Calibri"/>
          <w:color w:val="334155"/>
          <w:sz w:val="21"/>
          <w:szCs w:val="21"/>
        </w:rPr>
        <w:t xml:space="preserve"> C-Level / VP titles receive +25 points; Director/Manager titles receive +15 points.</w:t>
      </w:r>
    </w:p>
    <w:p>
      <w:pPr>
        <w:pStyle w:val="ListParagraph"/>
        <w:numPr>
          <w:ilvl w:val="0"/>
          <w:numId w:val="1"/>
        </w:numPr>
        <w:spacing w:after="60" w:before="60" w:line="260"/>
      </w:pPr>
      <w:r>
        <w:rPr>
          <w:rFonts w:ascii="Calibri" w:cs="Calibri" w:eastAsia="Calibri" w:hAnsi="Calibri"/>
          <w:b/>
          <w:bCs/>
          <w:color w:val="0F172A"/>
          <w:sz w:val="21"/>
          <w:szCs w:val="21"/>
        </w:rPr>
        <w:t xml:space="preserve">Company Size Weight:</w:t>
      </w:r>
      <w:r>
        <w:rPr>
          <w:rFonts w:ascii="Calibri" w:cs="Calibri" w:eastAsia="Calibri" w:hAnsi="Calibri"/>
          <w:color w:val="334155"/>
          <w:sz w:val="21"/>
          <w:szCs w:val="21"/>
        </w:rPr>
        <w:t xml:space="preserve"> Enterprise and Upper Mid-Market accounts receive +20 points.</w:t>
      </w:r>
    </w:p>
    <w:p>
      <w:pPr>
        <w:pStyle w:val="ListParagraph"/>
        <w:numPr>
          <w:ilvl w:val="0"/>
          <w:numId w:val="1"/>
        </w:numPr>
        <w:spacing w:after="60" w:before="60" w:line="260"/>
      </w:pPr>
      <w:r>
        <w:rPr>
          <w:rFonts w:ascii="Calibri" w:cs="Calibri" w:eastAsia="Calibri" w:hAnsi="Calibri"/>
          <w:b/>
          <w:bCs/>
          <w:color w:val="0F172A"/>
          <w:sz w:val="21"/>
          <w:szCs w:val="21"/>
        </w:rPr>
        <w:t xml:space="preserve">Source Attribution:</w:t>
      </w:r>
      <w:r>
        <w:rPr>
          <w:rFonts w:ascii="Calibri" w:cs="Calibri" w:eastAsia="Calibri" w:hAnsi="Calibri"/>
          <w:color w:val="334155"/>
          <w:sz w:val="21"/>
          <w:szCs w:val="21"/>
        </w:rPr>
        <w:t xml:space="preserve"> Direct referrals (+20 pts) and organic inbound (+15 pts) outweigh cold outreach.</w:t>
      </w:r>
    </w:p>
    <w:p>
      <w:pPr>
        <w:pStyle w:val="ListParagraph"/>
        <w:numPr>
          <w:ilvl w:val="0"/>
          <w:numId w:val="1"/>
        </w:numPr>
        <w:spacing w:after="60" w:before="60" w:line="260"/>
      </w:pPr>
      <w:r>
        <w:rPr>
          <w:rFonts w:ascii="Calibri" w:cs="Calibri" w:eastAsia="Calibri" w:hAnsi="Calibri"/>
          <w:b/>
          <w:bCs/>
          <w:color w:val="0F172A"/>
          <w:sz w:val="21"/>
          <w:szCs w:val="21"/>
        </w:rPr>
        <w:t xml:space="preserve">Engagement Activity:</w:t>
      </w:r>
      <w:r>
        <w:rPr>
          <w:rFonts w:ascii="Calibri" w:cs="Calibri" w:eastAsia="Calibri" w:hAnsi="Calibri"/>
          <w:color w:val="334155"/>
          <w:sz w:val="21"/>
          <w:szCs w:val="21"/>
        </w:rPr>
        <w:t xml:space="preserve"> Email opens (+5 pts) and link clicks (+10 pts) continuously boost score.</w:t>
      </w:r>
    </w:p>
    <w:p>
      <w:pPr>
        <w:spacing w:after="120" w:before="80" w:line="280"/>
      </w:pPr>
      <w:r>
        <w:rPr>
          <w:rFonts w:ascii="Calibri" w:cs="Calibri" w:eastAsia="Calibri" w:hAnsi="Calibri"/>
          <w:color w:val="334155"/>
          <w:sz w:val="22"/>
          <w:szCs w:val="22"/>
        </w:rPr>
        <w:t xml:space="preserve">When a lead reaches qualified status, sales reps can trigger the atomic 1-Click Conversion Workflow, which simultaneously creates a Company, Contact, and Deal opportunity without redundant data entry.</w:t>
      </w:r>
    </w:p>
    <w:p>
      <w:pPr>
        <w:pStyle w:val="Heading2"/>
        <w:spacing w:after="120" w:before="280"/>
      </w:pPr>
      <w:r>
        <w:rPr>
          <w:rFonts w:ascii="Calibri" w:cs="Calibri" w:eastAsia="Calibri" w:hAnsi="Calibri"/>
          <w:b/>
          <w:bCs/>
          <w:color w:val="0F172A"/>
          <w:sz w:val="26"/>
          <w:szCs w:val="26"/>
        </w:rPr>
        <w:t xml:space="preserve">Module 3: Contacts, Companies &amp; Deduplication Engine</w:t>
      </w:r>
    </w:p>
    <w:p>
      <w:pPr>
        <w:spacing w:after="120" w:before="80" w:line="280"/>
      </w:pPr>
      <w:r>
        <w:rPr>
          <w:rFonts w:ascii="Calibri" w:cs="Calibri" w:eastAsia="Calibri" w:hAnsi="Calibri"/>
          <w:color w:val="334155"/>
          <w:sz w:val="22"/>
          <w:szCs w:val="22"/>
        </w:rPr>
        <w:t xml:space="preserve">Customer accounts and individual contacts maintain parent-child relationships. To prevent database pollution, NexusCRM includes an intelligent Deduplication Engine that analyzes incoming records using exact email matching, normalized domain comparisons, and fuzzy name scoring.</w:t>
      </w:r>
    </w:p>
    <w:p>
      <w:pPr>
        <w:spacing w:after="120" w:before="80" w:line="280"/>
      </w:pPr>
      <w:r>
        <w:rPr>
          <w:rFonts w:ascii="Calibri" w:cs="Calibri" w:eastAsia="Calibri" w:hAnsi="Calibri"/>
          <w:color w:val="334155"/>
          <w:sz w:val="22"/>
          <w:szCs w:val="22"/>
        </w:rPr>
        <w:t xml:space="preserve">If potential duplicates are flagged, the platform offers an Atomic Record Merge Modal, allowing users to consolidate contacts while preserving timeline histories, activity logs, and email conversations.</w:t>
      </w:r>
    </w:p>
    <w:p>
      <w:pPr>
        <w:pStyle w:val="Heading2"/>
        <w:spacing w:after="120" w:before="280"/>
      </w:pPr>
      <w:r>
        <w:rPr>
          <w:rFonts w:ascii="Calibri" w:cs="Calibri" w:eastAsia="Calibri" w:hAnsi="Calibri"/>
          <w:b/>
          <w:bCs/>
          <w:color w:val="0F172A"/>
          <w:sz w:val="26"/>
          <w:szCs w:val="26"/>
        </w:rPr>
        <w:t xml:space="preserve">Module 4: Deals, Sales Pipelines &amp; Drag-and-Drop Kanban</w:t>
      </w:r>
    </w:p>
    <w:p>
      <w:pPr>
        <w:spacing w:after="120" w:before="80" w:line="280"/>
      </w:pPr>
      <w:r>
        <w:rPr>
          <w:rFonts w:ascii="Calibri" w:cs="Calibri" w:eastAsia="Calibri" w:hAnsi="Calibri"/>
          <w:color w:val="334155"/>
          <w:sz w:val="22"/>
          <w:szCs w:val="22"/>
        </w:rPr>
        <w:t xml:space="preserve">Deals represent commercial opportunities and progress across defined pipeline stages (e.g., Discovery, Qualification, Proposal, Negotiation, Closed Won, Closed Lost). Features include:</w:t>
      </w:r>
    </w:p>
    <w:p>
      <w:pPr>
        <w:pStyle w:val="ListParagraph"/>
        <w:numPr>
          <w:ilvl w:val="0"/>
          <w:numId w:val="1"/>
        </w:numPr>
        <w:spacing w:after="60" w:before="60" w:line="260"/>
      </w:pPr>
      <w:r>
        <w:rPr>
          <w:rFonts w:ascii="Calibri" w:cs="Calibri" w:eastAsia="Calibri" w:hAnsi="Calibri"/>
          <w:b/>
          <w:bCs/>
          <w:color w:val="0F172A"/>
          <w:sz w:val="21"/>
          <w:szCs w:val="21"/>
        </w:rPr>
        <w:t xml:space="preserve">Visual Kanban Board:</w:t>
      </w:r>
      <w:r>
        <w:rPr>
          <w:rFonts w:ascii="Calibri" w:cs="Calibri" w:eastAsia="Calibri" w:hAnsi="Calibri"/>
          <w:color w:val="334155"/>
          <w:sz w:val="21"/>
          <w:szCs w:val="21"/>
        </w:rPr>
        <w:t xml:space="preserve"> Drag deals across stages with automatic probability updates and immediate server synchronization.</w:t>
      </w:r>
    </w:p>
    <w:p>
      <w:pPr>
        <w:pStyle w:val="ListParagraph"/>
        <w:numPr>
          <w:ilvl w:val="0"/>
          <w:numId w:val="1"/>
        </w:numPr>
        <w:spacing w:after="60" w:before="60" w:line="260"/>
      </w:pPr>
      <w:r>
        <w:rPr>
          <w:rFonts w:ascii="Calibri" w:cs="Calibri" w:eastAsia="Calibri" w:hAnsi="Calibri"/>
          <w:b/>
          <w:bCs/>
          <w:color w:val="0F172A"/>
          <w:sz w:val="21"/>
          <w:szCs w:val="21"/>
        </w:rPr>
        <w:t xml:space="preserve">Weighted Revenue Forecasting:</w:t>
      </w:r>
      <w:r>
        <w:rPr>
          <w:rFonts w:ascii="Calibri" w:cs="Calibri" w:eastAsia="Calibri" w:hAnsi="Calibri"/>
          <w:color w:val="334155"/>
          <w:sz w:val="21"/>
          <w:szCs w:val="21"/>
        </w:rPr>
        <w:t xml:space="preserve"> Deals track probability (0%–100%) to calculate weighted pipeline values (Deal Value * Probability).</w:t>
      </w:r>
    </w:p>
    <w:p>
      <w:pPr>
        <w:pStyle w:val="ListParagraph"/>
        <w:numPr>
          <w:ilvl w:val="0"/>
          <w:numId w:val="1"/>
        </w:numPr>
        <w:spacing w:after="60" w:before="60" w:line="260"/>
      </w:pPr>
      <w:r>
        <w:rPr>
          <w:rFonts w:ascii="Calibri" w:cs="Calibri" w:eastAsia="Calibri" w:hAnsi="Calibri"/>
          <w:b/>
          <w:bCs/>
          <w:color w:val="0F172A"/>
          <w:sz w:val="21"/>
          <w:szCs w:val="21"/>
        </w:rPr>
        <w:t xml:space="preserve">Lost Reason Governance:</w:t>
      </w:r>
      <w:r>
        <w:rPr>
          <w:rFonts w:ascii="Calibri" w:cs="Calibri" w:eastAsia="Calibri" w:hAnsi="Calibri"/>
          <w:color w:val="334155"/>
          <w:sz w:val="21"/>
          <w:szCs w:val="21"/>
        </w:rPr>
        <w:t xml:space="preserve"> Mandatory lost reason modal (Budget, Competitor, Timing, Feature Gap) to feed win/loss analytics.</w:t>
      </w:r>
    </w:p>
    <w:p>
      <w:pPr>
        <w:pStyle w:val="Heading2"/>
        <w:spacing w:after="120" w:before="280"/>
      </w:pPr>
      <w:r>
        <w:rPr>
          <w:rFonts w:ascii="Calibri" w:cs="Calibri" w:eastAsia="Calibri" w:hAnsi="Calibri"/>
          <w:b/>
          <w:bCs/>
          <w:color w:val="0F172A"/>
          <w:sz w:val="26"/>
          <w:szCs w:val="26"/>
        </w:rPr>
        <w:t xml:space="preserve">Module 5: 360° Activity Timeline &amp; Reminders</w:t>
      </w:r>
    </w:p>
    <w:p>
      <w:pPr>
        <w:spacing w:after="120" w:before="80" w:line="280"/>
      </w:pPr>
      <w:r>
        <w:rPr>
          <w:rFonts w:ascii="Calibri" w:cs="Calibri" w:eastAsia="Calibri" w:hAnsi="Calibri"/>
          <w:color w:val="334155"/>
          <w:sz w:val="22"/>
          <w:szCs w:val="22"/>
        </w:rPr>
        <w:t xml:space="preserve">Every interaction (Phone Calls, Meetings, Tasks, Internal Notes) is tracked as a polymorphic activity linked to any Lead, Contact, Company, or Deal. The system includes:</w:t>
      </w:r>
    </w:p>
    <w:p>
      <w:pPr>
        <w:pStyle w:val="ListParagraph"/>
        <w:numPr>
          <w:ilvl w:val="0"/>
          <w:numId w:val="1"/>
        </w:numPr>
        <w:spacing w:after="60" w:before="60" w:line="260"/>
      </w:pPr>
      <w:r>
        <w:rPr>
          <w:rFonts w:ascii="Calibri" w:cs="Calibri" w:eastAsia="Calibri" w:hAnsi="Calibri"/>
          <w:b/>
          <w:bCs/>
          <w:color w:val="0F172A"/>
          <w:sz w:val="21"/>
          <w:szCs w:val="21"/>
        </w:rPr>
        <w:t xml:space="preserve">Omnichannel Timeline:</w:t>
      </w:r>
      <w:r>
        <w:rPr>
          <w:rFonts w:ascii="Calibri" w:cs="Calibri" w:eastAsia="Calibri" w:hAnsi="Calibri"/>
          <w:color w:val="334155"/>
          <w:sz w:val="21"/>
          <w:szCs w:val="21"/>
        </w:rPr>
        <w:t xml:space="preserve"> Unified chronological stream of calls, notes, stage transitions, and emails on entity detail pages.</w:t>
      </w:r>
    </w:p>
    <w:p>
      <w:pPr>
        <w:pStyle w:val="ListParagraph"/>
        <w:numPr>
          <w:ilvl w:val="0"/>
          <w:numId w:val="1"/>
        </w:numPr>
        <w:spacing w:after="60" w:before="60" w:line="260"/>
      </w:pPr>
      <w:r>
        <w:rPr>
          <w:rFonts w:ascii="Calibri" w:cs="Calibri" w:eastAsia="Calibri" w:hAnsi="Calibri"/>
          <w:b/>
          <w:bCs/>
          <w:color w:val="0F172A"/>
          <w:sz w:val="21"/>
          <w:szCs w:val="21"/>
        </w:rPr>
        <w:t xml:space="preserve">Priority Task Queue:</w:t>
      </w:r>
      <w:r>
        <w:rPr>
          <w:rFonts w:ascii="Calibri" w:cs="Calibri" w:eastAsia="Calibri" w:hAnsi="Calibri"/>
          <w:color w:val="334155"/>
          <w:sz w:val="21"/>
          <w:szCs w:val="21"/>
        </w:rPr>
        <w:t xml:space="preserve"> Overdue, due today, and upcoming tasks highlighted with 1-click completion toggles.</w:t>
      </w:r>
    </w:p>
    <w:p>
      <w:pPr>
        <w:pStyle w:val="ListParagraph"/>
        <w:numPr>
          <w:ilvl w:val="0"/>
          <w:numId w:val="1"/>
        </w:numPr>
        <w:spacing w:after="60" w:before="60" w:line="260"/>
      </w:pPr>
      <w:r>
        <w:rPr>
          <w:rFonts w:ascii="Calibri" w:cs="Calibri" w:eastAsia="Calibri" w:hAnsi="Calibri"/>
          <w:b/>
          <w:bCs/>
          <w:color w:val="0F172A"/>
          <w:sz w:val="21"/>
          <w:szCs w:val="21"/>
        </w:rPr>
        <w:t xml:space="preserve">Automated Reminders:</w:t>
      </w:r>
      <w:r>
        <w:rPr>
          <w:rFonts w:ascii="Calibri" w:cs="Calibri" w:eastAsia="Calibri" w:hAnsi="Calibri"/>
          <w:color w:val="334155"/>
          <w:sz w:val="21"/>
          <w:szCs w:val="21"/>
        </w:rPr>
        <w:t xml:space="preserve"> Scheduled reminders executed asynchronously via BullMQ/Redis and internal fallback pollers.</w:t>
      </w:r>
    </w:p>
    <w:p>
      <w:pPr>
        <w:pStyle w:val="Heading2"/>
        <w:spacing w:after="120" w:before="280"/>
      </w:pPr>
      <w:r>
        <w:rPr>
          <w:rFonts w:ascii="Calibri" w:cs="Calibri" w:eastAsia="Calibri" w:hAnsi="Calibri"/>
          <w:b/>
          <w:bCs/>
          <w:color w:val="0F172A"/>
          <w:sz w:val="26"/>
          <w:szCs w:val="26"/>
        </w:rPr>
        <w:t xml:space="preserve">Module 6: Email Marketing, Templates &amp; Pixel Tracking</w:t>
      </w:r>
    </w:p>
    <w:p>
      <w:pPr>
        <w:spacing w:after="120" w:before="80" w:line="280"/>
      </w:pPr>
      <w:r>
        <w:rPr>
          <w:rFonts w:ascii="Calibri" w:cs="Calibri" w:eastAsia="Calibri" w:hAnsi="Calibri"/>
          <w:color w:val="334155"/>
          <w:sz w:val="22"/>
          <w:szCs w:val="22"/>
        </w:rPr>
        <w:t xml:space="preserve">The built-in email engine allows sales reps and marketers to send 1-to-1 personalized emails or launch multi-step drip campaigns. Key capabilities include:</w:t>
      </w:r>
    </w:p>
    <w:p>
      <w:pPr>
        <w:pStyle w:val="ListParagraph"/>
        <w:numPr>
          <w:ilvl w:val="0"/>
          <w:numId w:val="1"/>
        </w:numPr>
        <w:spacing w:after="60" w:before="60" w:line="260"/>
      </w:pPr>
      <w:r>
        <w:rPr>
          <w:rFonts w:ascii="Calibri" w:cs="Calibri" w:eastAsia="Calibri" w:hAnsi="Calibri"/>
          <w:b/>
          <w:bCs/>
          <w:color w:val="0F172A"/>
          <w:sz w:val="21"/>
          <w:szCs w:val="21"/>
        </w:rPr>
        <w:t xml:space="preserve">Template Personalization:</w:t>
      </w:r>
      <w:r>
        <w:rPr>
          <w:rFonts w:ascii="Calibri" w:cs="Calibri" w:eastAsia="Calibri" w:hAnsi="Calibri"/>
          <w:color w:val="334155"/>
          <w:sz w:val="21"/>
          <w:szCs w:val="21"/>
        </w:rPr>
        <w:t xml:space="preserve"> Dynamic merge variables (e.g. {{firstName}}, {{companyName}}, {{jobTitle}}) resolved at dispatch time.</w:t>
      </w:r>
    </w:p>
    <w:p>
      <w:pPr>
        <w:pStyle w:val="ListParagraph"/>
        <w:numPr>
          <w:ilvl w:val="0"/>
          <w:numId w:val="1"/>
        </w:numPr>
        <w:spacing w:after="60" w:before="60" w:line="260"/>
      </w:pPr>
      <w:r>
        <w:rPr>
          <w:rFonts w:ascii="Calibri" w:cs="Calibri" w:eastAsia="Calibri" w:hAnsi="Calibri"/>
          <w:b/>
          <w:bCs/>
          <w:color w:val="0F172A"/>
          <w:sz w:val="21"/>
          <w:szCs w:val="21"/>
        </w:rPr>
        <w:t xml:space="preserve">Pixel Open Tracking:</w:t>
      </w:r>
      <w:r>
        <w:rPr>
          <w:rFonts w:ascii="Calibri" w:cs="Calibri" w:eastAsia="Calibri" w:hAnsi="Calibri"/>
          <w:color w:val="334155"/>
          <w:sz w:val="21"/>
          <w:szCs w:val="21"/>
        </w:rPr>
        <w:t xml:space="preserve"> An invisible 1x1 transparent GIF is automatically injected into outbound emails to record read timestamps and IP addresses.</w:t>
      </w:r>
    </w:p>
    <w:p>
      <w:pPr>
        <w:pStyle w:val="ListParagraph"/>
        <w:numPr>
          <w:ilvl w:val="0"/>
          <w:numId w:val="1"/>
        </w:numPr>
        <w:spacing w:after="60" w:before="60" w:line="260"/>
      </w:pPr>
      <w:r>
        <w:rPr>
          <w:rFonts w:ascii="Calibri" w:cs="Calibri" w:eastAsia="Calibri" w:hAnsi="Calibri"/>
          <w:b/>
          <w:bCs/>
          <w:color w:val="0F172A"/>
          <w:sz w:val="21"/>
          <w:szCs w:val="21"/>
        </w:rPr>
        <w:t xml:space="preserve">Click Tracking:</w:t>
      </w:r>
      <w:r>
        <w:rPr>
          <w:rFonts w:ascii="Calibri" w:cs="Calibri" w:eastAsia="Calibri" w:hAnsi="Calibri"/>
          <w:color w:val="334155"/>
          <w:sz w:val="21"/>
          <w:szCs w:val="21"/>
        </w:rPr>
        <w:t xml:space="preserve"> Hyperlinks are dynamically wrapped through tracking endpoints to capture engagement clicks.</w:t>
      </w:r>
    </w:p>
    <w:p>
      <w:pPr>
        <w:pStyle w:val="Heading2"/>
        <w:spacing w:after="120" w:before="280"/>
      </w:pPr>
      <w:r>
        <w:rPr>
          <w:rFonts w:ascii="Calibri" w:cs="Calibri" w:eastAsia="Calibri" w:hAnsi="Calibri"/>
          <w:b/>
          <w:bCs/>
          <w:color w:val="0F172A"/>
          <w:sz w:val="26"/>
          <w:szCs w:val="26"/>
        </w:rPr>
        <w:t xml:space="preserve">Module 7: Quotations, Approvals &amp; PDF Streaming</w:t>
      </w:r>
    </w:p>
    <w:p>
      <w:pPr>
        <w:spacing w:after="120" w:before="80" w:line="280"/>
      </w:pPr>
      <w:r>
        <w:rPr>
          <w:rFonts w:ascii="Calibri" w:cs="Calibri" w:eastAsia="Calibri" w:hAnsi="Calibri"/>
          <w:color w:val="334155"/>
          <w:sz w:val="22"/>
          <w:szCs w:val="22"/>
        </w:rPr>
        <w:t xml:space="preserve">Sales reps can construct structured enterprise proposals with multi-item line configurations, tax rules, and custom discounts. To protect profit margins, the platform implements an Automated Discount Approval Workflow:</w:t>
      </w:r>
    </w:p>
    <w:p>
      <w:pPr>
        <w:pStyle w:val="ListParagraph"/>
        <w:numPr>
          <w:ilvl w:val="0"/>
          <w:numId w:val="1"/>
        </w:numPr>
        <w:spacing w:after="60" w:before="60" w:line="260"/>
      </w:pPr>
      <w:r>
        <w:rPr>
          <w:rFonts w:ascii="Calibri" w:cs="Calibri" w:eastAsia="Calibri" w:hAnsi="Calibri"/>
          <w:b/>
          <w:bCs/>
          <w:color w:val="0F172A"/>
          <w:sz w:val="21"/>
          <w:szCs w:val="21"/>
        </w:rPr>
        <w:t xml:space="preserve">Discounts &lt;= 15%:</w:t>
      </w:r>
      <w:r>
        <w:rPr>
          <w:rFonts w:ascii="Calibri" w:cs="Calibri" w:eastAsia="Calibri" w:hAnsi="Calibri"/>
          <w:color w:val="334155"/>
          <w:sz w:val="21"/>
          <w:szCs w:val="21"/>
        </w:rPr>
        <w:t xml:space="preserve"> Automatically approved and ready for client delivery.</w:t>
      </w:r>
    </w:p>
    <w:p>
      <w:pPr>
        <w:pStyle w:val="ListParagraph"/>
        <w:numPr>
          <w:ilvl w:val="0"/>
          <w:numId w:val="1"/>
        </w:numPr>
        <w:spacing w:after="60" w:before="60" w:line="260"/>
      </w:pPr>
      <w:r>
        <w:rPr>
          <w:rFonts w:ascii="Calibri" w:cs="Calibri" w:eastAsia="Calibri" w:hAnsi="Calibri"/>
          <w:b/>
          <w:bCs/>
          <w:color w:val="0F172A"/>
          <w:sz w:val="21"/>
          <w:szCs w:val="21"/>
        </w:rPr>
        <w:t xml:space="preserve">Discounts 16% - 25%:</w:t>
      </w:r>
      <w:r>
        <w:rPr>
          <w:rFonts w:ascii="Calibri" w:cs="Calibri" w:eastAsia="Calibri" w:hAnsi="Calibri"/>
          <w:color w:val="334155"/>
          <w:sz w:val="21"/>
          <w:szCs w:val="21"/>
        </w:rPr>
        <w:t xml:space="preserve"> Flagged as "Pending Approval" requiring sign-off from a Sales Manager.</w:t>
      </w:r>
    </w:p>
    <w:p>
      <w:pPr>
        <w:pStyle w:val="ListParagraph"/>
        <w:numPr>
          <w:ilvl w:val="0"/>
          <w:numId w:val="1"/>
        </w:numPr>
        <w:spacing w:after="60" w:before="60" w:line="260"/>
      </w:pPr>
      <w:r>
        <w:rPr>
          <w:rFonts w:ascii="Calibri" w:cs="Calibri" w:eastAsia="Calibri" w:hAnsi="Calibri"/>
          <w:b/>
          <w:bCs/>
          <w:color w:val="0F172A"/>
          <w:sz w:val="21"/>
          <w:szCs w:val="21"/>
        </w:rPr>
        <w:t xml:space="preserve">Discounts &gt; 25%:</w:t>
      </w:r>
      <w:r>
        <w:rPr>
          <w:rFonts w:ascii="Calibri" w:cs="Calibri" w:eastAsia="Calibri" w:hAnsi="Calibri"/>
          <w:color w:val="334155"/>
          <w:sz w:val="21"/>
          <w:szCs w:val="21"/>
        </w:rPr>
        <w:t xml:space="preserve"> Strict escalation requiring Executive/Admin sign-off with audit logging.</w:t>
      </w:r>
    </w:p>
    <w:p>
      <w:pPr>
        <w:spacing w:after="120" w:before="80" w:line="280"/>
      </w:pPr>
      <w:r>
        <w:rPr>
          <w:rFonts w:ascii="Calibri" w:cs="Calibri" w:eastAsia="Calibri" w:hAnsi="Calibri"/>
          <w:color w:val="334155"/>
          <w:sz w:val="22"/>
          <w:szCs w:val="22"/>
        </w:rPr>
        <w:t xml:space="preserve">Once approved, the server uses PDFKit to stream an official, formatted corporate quotation document directly to the client browser or attaches it to an outbound email.</w:t>
      </w:r>
    </w:p>
    <w:p>
      <w:pPr>
        <w:pStyle w:val="Heading2"/>
        <w:spacing w:after="120" w:before="280"/>
      </w:pPr>
      <w:r>
        <w:rPr>
          <w:rFonts w:ascii="Calibri" w:cs="Calibri" w:eastAsia="Calibri" w:hAnsi="Calibri"/>
          <w:b/>
          <w:bCs/>
          <w:color w:val="0F172A"/>
          <w:sz w:val="26"/>
          <w:szCs w:val="26"/>
        </w:rPr>
        <w:t xml:space="preserve">Module 8: Sales Analytics, Funnels &amp; Executive Dashboard</w:t>
      </w:r>
    </w:p>
    <w:p>
      <w:pPr>
        <w:spacing w:after="120" w:before="80" w:line="280"/>
      </w:pPr>
      <w:r>
        <w:rPr>
          <w:rFonts w:ascii="Calibri" w:cs="Calibri" w:eastAsia="Calibri" w:hAnsi="Calibri"/>
          <w:color w:val="334155"/>
          <w:sz w:val="22"/>
          <w:szCs w:val="22"/>
        </w:rPr>
        <w:t xml:space="preserve">The reporting suite processes high-volume aggregations via MongoDB Pipelines to produce real-time executive intelligence and interactive dashboards:</w:t>
      </w:r>
    </w:p>
    <w:p>
      <w:pPr>
        <w:pStyle w:val="ListParagraph"/>
        <w:numPr>
          <w:ilvl w:val="0"/>
          <w:numId w:val="1"/>
        </w:numPr>
        <w:spacing w:after="60" w:before="60" w:line="260"/>
      </w:pPr>
      <w:r>
        <w:rPr>
          <w:rFonts w:ascii="Calibri" w:cs="Calibri" w:eastAsia="Calibri" w:hAnsi="Calibri"/>
          <w:b/>
          <w:bCs/>
          <w:color w:val="0F172A"/>
          <w:sz w:val="21"/>
          <w:szCs w:val="21"/>
        </w:rPr>
        <w:t xml:space="preserve">Executive KPI Metrics:</w:t>
      </w:r>
      <w:r>
        <w:rPr>
          <w:rFonts w:ascii="Calibri" w:cs="Calibri" w:eastAsia="Calibri" w:hAnsi="Calibri"/>
          <w:color w:val="334155"/>
          <w:sz w:val="21"/>
          <w:szCs w:val="21"/>
        </w:rPr>
        <w:t xml:space="preserve"> Top-level KPI cards reporting Total Open Pipeline Value, Closed Won Revenue, Active Lead count, and Deal Win Rate with historical trend markers.</w:t>
      </w:r>
    </w:p>
    <w:p>
      <w:pPr>
        <w:pStyle w:val="ListParagraph"/>
        <w:numPr>
          <w:ilvl w:val="0"/>
          <w:numId w:val="1"/>
        </w:numPr>
        <w:spacing w:after="60" w:before="60" w:line="260"/>
      </w:pPr>
      <w:r>
        <w:rPr>
          <w:rFonts w:ascii="Calibri" w:cs="Calibri" w:eastAsia="Calibri" w:hAnsi="Calibri"/>
          <w:b/>
          <w:bCs/>
          <w:color w:val="0F172A"/>
          <w:sz w:val="21"/>
          <w:szCs w:val="21"/>
        </w:rPr>
        <w:t xml:space="preserve">Visual Conversion Funnel:</w:t>
      </w:r>
      <w:r>
        <w:rPr>
          <w:rFonts w:ascii="Calibri" w:cs="Calibri" w:eastAsia="Calibri" w:hAnsi="Calibri"/>
          <w:color w:val="334155"/>
          <w:sz w:val="21"/>
          <w:szCs w:val="21"/>
        </w:rPr>
        <w:t xml:space="preserve"> Tracks conversion percentages and stage drop-offs from raw lead ingestion to Closed Won.</w:t>
      </w:r>
    </w:p>
    <w:p>
      <w:pPr>
        <w:pStyle w:val="ListParagraph"/>
        <w:numPr>
          <w:ilvl w:val="0"/>
          <w:numId w:val="1"/>
        </w:numPr>
        <w:spacing w:after="60" w:before="60" w:line="260"/>
      </w:pPr>
      <w:r>
        <w:rPr>
          <w:rFonts w:ascii="Calibri" w:cs="Calibri" w:eastAsia="Calibri" w:hAnsi="Calibri"/>
          <w:b/>
          <w:bCs/>
          <w:color w:val="0F172A"/>
          <w:sz w:val="21"/>
          <w:szCs w:val="21"/>
        </w:rPr>
        <w:t xml:space="preserve">Weighted Revenue Forecast:</w:t>
      </w:r>
      <w:r>
        <w:rPr>
          <w:rFonts w:ascii="Calibri" w:cs="Calibri" w:eastAsia="Calibri" w:hAnsi="Calibri"/>
          <w:color w:val="334155"/>
          <w:sz w:val="21"/>
          <w:szCs w:val="21"/>
        </w:rPr>
        <w:t xml:space="preserve"> Monthly and quarterly revenue projections categorized into Commit, Best Case, and Pipeline cohorts.</w:t>
      </w:r>
    </w:p>
    <w:p>
      <w:pPr>
        <w:pStyle w:val="ListParagraph"/>
        <w:numPr>
          <w:ilvl w:val="0"/>
          <w:numId w:val="1"/>
        </w:numPr>
        <w:spacing w:after="60" w:before="60" w:line="260"/>
      </w:pPr>
      <w:r>
        <w:rPr>
          <w:rFonts w:ascii="Calibri" w:cs="Calibri" w:eastAsia="Calibri" w:hAnsi="Calibri"/>
          <w:b/>
          <w:bCs/>
          <w:color w:val="0F172A"/>
          <w:sz w:val="21"/>
          <w:szCs w:val="21"/>
        </w:rPr>
        <w:t xml:space="preserve">Top Deals Focus:</w:t>
      </w:r>
      <w:r>
        <w:rPr>
          <w:rFonts w:ascii="Calibri" w:cs="Calibri" w:eastAsia="Calibri" w:hAnsi="Calibri"/>
          <w:color w:val="334155"/>
          <w:sz w:val="21"/>
          <w:szCs w:val="21"/>
        </w:rPr>
        <w:t xml:space="preserve"> High-priority open opportunities with expected close dates and immediate status visibility.</w:t>
      </w:r>
    </w:p>
    <w:p>
      <w:pPr>
        <w:pStyle w:val="ListParagraph"/>
        <w:numPr>
          <w:ilvl w:val="0"/>
          <w:numId w:val="1"/>
        </w:numPr>
        <w:spacing w:after="60" w:before="60" w:line="260"/>
      </w:pPr>
      <w:r>
        <w:rPr>
          <w:rFonts w:ascii="Calibri" w:cs="Calibri" w:eastAsia="Calibri" w:hAnsi="Calibri"/>
          <w:b/>
          <w:bCs/>
          <w:color w:val="0F172A"/>
          <w:sz w:val="21"/>
          <w:szCs w:val="21"/>
        </w:rPr>
        <w:t xml:space="preserve">Immediate Action Queue:</w:t>
      </w:r>
      <w:r>
        <w:rPr>
          <w:rFonts w:ascii="Calibri" w:cs="Calibri" w:eastAsia="Calibri" w:hAnsi="Calibri"/>
          <w:color w:val="334155"/>
          <w:sz w:val="21"/>
          <w:szCs w:val="21"/>
        </w:rPr>
        <w:t xml:space="preserve"> Prioritized queue of due and overdue tasks with 1-click completion toggles.</w:t>
      </w:r>
    </w:p>
    <w:p>
      <w:pPr>
        <w:pStyle w:val="ListParagraph"/>
        <w:numPr>
          <w:ilvl w:val="0"/>
          <w:numId w:val="1"/>
        </w:numPr>
        <w:spacing w:after="60" w:before="60" w:line="260"/>
      </w:pPr>
      <w:r>
        <w:rPr>
          <w:rFonts w:ascii="Calibri" w:cs="Calibri" w:eastAsia="Calibri" w:hAnsi="Calibri"/>
          <w:b/>
          <w:bCs/>
          <w:color w:val="0F172A"/>
          <w:sz w:val="21"/>
          <w:szCs w:val="21"/>
        </w:rPr>
        <w:t xml:space="preserve">AI Hot Leads:</w:t>
      </w:r>
      <w:r>
        <w:rPr>
          <w:rFonts w:ascii="Calibri" w:cs="Calibri" w:eastAsia="Calibri" w:hAnsi="Calibri"/>
          <w:color w:val="334155"/>
          <w:sz w:val="21"/>
          <w:szCs w:val="21"/>
        </w:rPr>
        <w:t xml:space="preserve"> Top prospects graded 80-100 with direct call, email, and stage progression actions.</w:t>
      </w:r>
    </w:p>
    <w:p>
      <w:pPr>
        <w:pStyle w:val="ListParagraph"/>
        <w:numPr>
          <w:ilvl w:val="0"/>
          <w:numId w:val="1"/>
        </w:numPr>
        <w:spacing w:after="60" w:before="60" w:line="260"/>
      </w:pPr>
      <w:r>
        <w:rPr>
          <w:rFonts w:ascii="Calibri" w:cs="Calibri" w:eastAsia="Calibri" w:hAnsi="Calibri"/>
          <w:b/>
          <w:bCs/>
          <w:color w:val="0F172A"/>
          <w:sz w:val="21"/>
          <w:szCs w:val="21"/>
        </w:rPr>
        <w:t xml:space="preserve">Rep Leaderboard:</w:t>
      </w:r>
      <w:r>
        <w:rPr>
          <w:rFonts w:ascii="Calibri" w:cs="Calibri" w:eastAsia="Calibri" w:hAnsi="Calibri"/>
          <w:color w:val="334155"/>
          <w:sz w:val="21"/>
          <w:szCs w:val="21"/>
        </w:rPr>
        <w:t xml:space="preserve"> Live ranking of sales representatives by closed revenue, won deals, and activity completion velocity.</w:t>
      </w:r>
    </w:p>
    <w:p>
      <w:pPr>
        <w:pStyle w:val="Heading2"/>
        <w:spacing w:after="120" w:before="280"/>
      </w:pPr>
      <w:r>
        <w:rPr>
          <w:rFonts w:ascii="Calibri" w:cs="Calibri" w:eastAsia="Calibri" w:hAnsi="Calibri"/>
          <w:b/>
          <w:bCs/>
          <w:color w:val="0F172A"/>
          <w:sz w:val="26"/>
          <w:szCs w:val="26"/>
        </w:rPr>
        <w:t xml:space="preserve">Module 9: High-Volume Bulk Data Migration (CSV / Excel)</w:t>
      </w:r>
    </w:p>
    <w:p>
      <w:pPr>
        <w:spacing w:after="120" w:before="80" w:line="280"/>
      </w:pPr>
      <w:r>
        <w:rPr>
          <w:rFonts w:ascii="Calibri" w:cs="Calibri" w:eastAsia="Calibri" w:hAnsi="Calibri"/>
          <w:color w:val="334155"/>
          <w:sz w:val="22"/>
          <w:szCs w:val="22"/>
        </w:rPr>
        <w:t xml:space="preserve">To enable frictionless enterprise migration, NexusCRM supports bidirectional streaming import and export for Leads, Contacts, and Companies using PapaParse and ExcelJS. Imports undergo strict field mapping, data type sanitization, and error reporting.</w:t>
      </w:r>
    </w:p>
    <w:p>
      <w:pPr>
        <w:pStyle w:val="Heading2"/>
        <w:spacing w:after="120" w:before="280"/>
      </w:pPr>
      <w:r>
        <w:rPr>
          <w:rFonts w:ascii="Calibri" w:cs="Calibri" w:eastAsia="Calibri" w:hAnsi="Calibri"/>
          <w:b/>
          <w:bCs/>
          <w:color w:val="0F172A"/>
          <w:sz w:val="26"/>
          <w:szCs w:val="26"/>
        </w:rPr>
        <w:t xml:space="preserve">Module 10: Security Governance &amp; Audit Trails</w:t>
      </w:r>
    </w:p>
    <w:p>
      <w:pPr>
        <w:spacing w:after="120" w:before="80" w:line="280"/>
      </w:pPr>
      <w:r>
        <w:rPr>
          <w:rFonts w:ascii="Calibri" w:cs="Calibri" w:eastAsia="Calibri" w:hAnsi="Calibri"/>
          <w:color w:val="334155"/>
          <w:sz w:val="22"/>
          <w:szCs w:val="22"/>
        </w:rPr>
        <w:t xml:space="preserve">Every sensitive mutation (user creation, password reset, permission escalation, record deletion, bulk export) writes an immutable record to the AuditLog collection, recording Actor ID, IP Address, User Agent, Resource Type, Action, and Before/After snapshots.</w:t>
      </w:r>
    </w:p>
    <w:p>
      <w:pPr>
        <w:pStyle w:val="Heading2"/>
        <w:spacing w:after="120" w:before="280"/>
      </w:pPr>
      <w:r>
        <w:rPr>
          <w:rFonts w:ascii="Calibri" w:cs="Calibri" w:eastAsia="Calibri" w:hAnsi="Calibri"/>
          <w:b/>
          <w:bCs/>
          <w:color w:val="0F172A"/>
          <w:sz w:val="26"/>
          <w:szCs w:val="26"/>
        </w:rPr>
        <w:t xml:space="preserve">Module 11: Interactive In-App Notification Center</w:t>
      </w:r>
    </w:p>
    <w:p>
      <w:pPr>
        <w:spacing w:after="120" w:before="80" w:line="280"/>
      </w:pPr>
      <w:r>
        <w:rPr>
          <w:rFonts w:ascii="Calibri" w:cs="Calibri" w:eastAsia="Calibri" w:hAnsi="Calibri"/>
          <w:color w:val="334155"/>
          <w:sz w:val="22"/>
          <w:szCs w:val="22"/>
        </w:rPr>
        <w:t xml:space="preserve">NexusCRM incorporates an asynchronous In-App Notification Center providing real-time situational awareness across commercial events and operational workflows:</w:t>
      </w:r>
    </w:p>
    <w:p>
      <w:pPr>
        <w:pStyle w:val="ListParagraph"/>
        <w:numPr>
          <w:ilvl w:val="0"/>
          <w:numId w:val="1"/>
        </w:numPr>
        <w:spacing w:after="60" w:before="60" w:line="260"/>
      </w:pPr>
      <w:r>
        <w:rPr>
          <w:rFonts w:ascii="Calibri" w:cs="Calibri" w:eastAsia="Calibri" w:hAnsi="Calibri"/>
          <w:b/>
          <w:bCs/>
          <w:color w:val="0F172A"/>
          <w:sz w:val="21"/>
          <w:szCs w:val="21"/>
        </w:rPr>
        <w:t xml:space="preserve">Real-Time Notification Bell:</w:t>
      </w:r>
      <w:r>
        <w:rPr>
          <w:rFonts w:ascii="Calibri" w:cs="Calibri" w:eastAsia="Calibri" w:hAnsi="Calibri"/>
          <w:color w:val="334155"/>
          <w:sz w:val="21"/>
          <w:szCs w:val="21"/>
        </w:rPr>
        <w:t xml:space="preserve"> Dynamic bell icon in the top navigation header featuring an unread count badge (with automatic 99+ formatting) and a quick-open dropdown panel.</w:t>
      </w:r>
    </w:p>
    <w:p>
      <w:pPr>
        <w:pStyle w:val="ListParagraph"/>
        <w:numPr>
          <w:ilvl w:val="0"/>
          <w:numId w:val="1"/>
        </w:numPr>
        <w:spacing w:after="60" w:before="60" w:line="260"/>
      </w:pPr>
      <w:r>
        <w:rPr>
          <w:rFonts w:ascii="Calibri" w:cs="Calibri" w:eastAsia="Calibri" w:hAnsi="Calibri"/>
          <w:b/>
          <w:bCs/>
          <w:color w:val="0F172A"/>
          <w:sz w:val="21"/>
          <w:szCs w:val="21"/>
        </w:rPr>
        <w:t xml:space="preserve">Workflow Event Automation:</w:t>
      </w:r>
      <w:r>
        <w:rPr>
          <w:rFonts w:ascii="Calibri" w:cs="Calibri" w:eastAsia="Calibri" w:hAnsi="Calibri"/>
          <w:color w:val="334155"/>
          <w:sz w:val="21"/>
          <w:szCs w:val="21"/>
        </w:rPr>
        <w:t xml:space="preserve"> Automatically triggers in-app alerts when deals are won, leads are assigned, quotation discount requests are approved or rejected, and activity reminders trigger.</w:t>
      </w:r>
    </w:p>
    <w:p>
      <w:pPr>
        <w:pStyle w:val="ListParagraph"/>
        <w:numPr>
          <w:ilvl w:val="0"/>
          <w:numId w:val="1"/>
        </w:numPr>
        <w:spacing w:after="60" w:before="60" w:line="260"/>
      </w:pPr>
      <w:r>
        <w:rPr>
          <w:rFonts w:ascii="Calibri" w:cs="Calibri" w:eastAsia="Calibri" w:hAnsi="Calibri"/>
          <w:b/>
          <w:bCs/>
          <w:color w:val="0F172A"/>
          <w:sz w:val="21"/>
          <w:szCs w:val="21"/>
        </w:rPr>
        <w:t xml:space="preserve">Interactive Drawer Governance:</w:t>
      </w:r>
      <w:r>
        <w:rPr>
          <w:rFonts w:ascii="Calibri" w:cs="Calibri" w:eastAsia="Calibri" w:hAnsi="Calibri"/>
          <w:color w:val="334155"/>
          <w:sz w:val="21"/>
          <w:szCs w:val="21"/>
        </w:rPr>
        <w:t xml:space="preserve"> Users can toggle between "All Notifications" and "Unread" filters, mark individual or all notifications as read, and remove dismissed alerts.</w:t>
      </w:r>
    </w:p>
    <w:p>
      <w:pPr>
        <w:pStyle w:val="ListParagraph"/>
        <w:numPr>
          <w:ilvl w:val="0"/>
          <w:numId w:val="1"/>
        </w:numPr>
        <w:spacing w:after="60" w:before="60" w:line="260"/>
      </w:pPr>
      <w:r>
        <w:rPr>
          <w:rFonts w:ascii="Calibri" w:cs="Calibri" w:eastAsia="Calibri" w:hAnsi="Calibri"/>
          <w:b/>
          <w:bCs/>
          <w:color w:val="0F172A"/>
          <w:sz w:val="21"/>
          <w:szCs w:val="21"/>
        </w:rPr>
        <w:t xml:space="preserve">Lightweight Polling Engine:</w:t>
      </w:r>
      <w:r>
        <w:rPr>
          <w:rFonts w:ascii="Calibri" w:cs="Calibri" w:eastAsia="Calibri" w:hAnsi="Calibri"/>
          <w:color w:val="334155"/>
          <w:sz w:val="21"/>
          <w:szCs w:val="21"/>
        </w:rPr>
        <w:t xml:space="preserve"> Operates via a resilient 30-second interval polling architecture querying indexed MongoDB notification collections with zero WebSocket serverless disconnect overhead.</w:t>
      </w:r>
    </w:p>
    <w:p>
      <w:pPr>
        <w:pStyle w:val="Heading2"/>
        <w:spacing w:after="120" w:before="280"/>
      </w:pPr>
      <w:r>
        <w:rPr>
          <w:rFonts w:ascii="Calibri" w:cs="Calibri" w:eastAsia="Calibri" w:hAnsi="Calibri"/>
          <w:b/>
          <w:bCs/>
          <w:color w:val="0F172A"/>
          <w:sz w:val="26"/>
          <w:szCs w:val="26"/>
        </w:rPr>
        <w:t xml:space="preserve">Module 12: Account Profile, Security &amp; Session Governance</w:t>
      </w:r>
    </w:p>
    <w:p>
      <w:pPr>
        <w:spacing w:after="120" w:before="80" w:line="280"/>
      </w:pPr>
      <w:r>
        <w:rPr>
          <w:rFonts w:ascii="Calibri" w:cs="Calibri" w:eastAsia="Calibri" w:hAnsi="Calibri"/>
          <w:color w:val="334155"/>
          <w:sz w:val="22"/>
          <w:szCs w:val="22"/>
        </w:rPr>
        <w:t xml:space="preserve">Enterprise security extends to user-level self-service governance, accessible directly via the top-right account dropdown into dedicated settings sub-tabs:</w:t>
      </w:r>
    </w:p>
    <w:p>
      <w:pPr>
        <w:pStyle w:val="ListParagraph"/>
        <w:numPr>
          <w:ilvl w:val="0"/>
          <w:numId w:val="1"/>
        </w:numPr>
        <w:spacing w:after="60" w:before="60" w:line="260"/>
      </w:pPr>
      <w:r>
        <w:rPr>
          <w:rFonts w:ascii="Calibri" w:cs="Calibri" w:eastAsia="Calibri" w:hAnsi="Calibri"/>
          <w:b/>
          <w:bCs/>
          <w:color w:val="0F172A"/>
          <w:sz w:val="21"/>
          <w:szCs w:val="21"/>
        </w:rPr>
        <w:t xml:space="preserve">Profile Customization:</w:t>
      </w:r>
      <w:r>
        <w:rPr>
          <w:rFonts w:ascii="Calibri" w:cs="Calibri" w:eastAsia="Calibri" w:hAnsi="Calibri"/>
          <w:color w:val="334155"/>
          <w:sz w:val="21"/>
          <w:szCs w:val="21"/>
        </w:rPr>
        <w:t xml:space="preserve"> Users can manage their personal identity (first name, last name, phone number, and avatar image URL) while viewing immutable enterprise metadata (email, tenant ID, and assigned RBAC role badge).</w:t>
      </w:r>
    </w:p>
    <w:p>
      <w:pPr>
        <w:pStyle w:val="ListParagraph"/>
        <w:numPr>
          <w:ilvl w:val="0"/>
          <w:numId w:val="1"/>
        </w:numPr>
        <w:spacing w:after="60" w:before="60" w:line="260"/>
      </w:pPr>
      <w:r>
        <w:rPr>
          <w:rFonts w:ascii="Calibri" w:cs="Calibri" w:eastAsia="Calibri" w:hAnsi="Calibri"/>
          <w:b/>
          <w:bCs/>
          <w:color w:val="0F172A"/>
          <w:sz w:val="21"/>
          <w:szCs w:val="21"/>
        </w:rPr>
        <w:t xml:space="preserve">Password Security:</w:t>
      </w:r>
      <w:r>
        <w:rPr>
          <w:rFonts w:ascii="Calibri" w:cs="Calibri" w:eastAsia="Calibri" w:hAnsi="Calibri"/>
          <w:color w:val="334155"/>
          <w:sz w:val="21"/>
          <w:szCs w:val="21"/>
        </w:rPr>
        <w:t xml:space="preserve"> Self-service password rotation requiring current password verification and enforcing strict password complexity rules (minimum 8 characters, uppercase, lowercase, and numbers).</w:t>
      </w:r>
    </w:p>
    <w:p>
      <w:pPr>
        <w:pStyle w:val="ListParagraph"/>
        <w:numPr>
          <w:ilvl w:val="0"/>
          <w:numId w:val="1"/>
        </w:numPr>
        <w:spacing w:after="60" w:before="60" w:line="260"/>
      </w:pPr>
      <w:r>
        <w:rPr>
          <w:rFonts w:ascii="Calibri" w:cs="Calibri" w:eastAsia="Calibri" w:hAnsi="Calibri"/>
          <w:b/>
          <w:bCs/>
          <w:color w:val="0F172A"/>
          <w:sz w:val="21"/>
          <w:szCs w:val="21"/>
        </w:rPr>
        <w:t xml:space="preserve">Active Session Tracking:</w:t>
      </w:r>
      <w:r>
        <w:rPr>
          <w:rFonts w:ascii="Calibri" w:cs="Calibri" w:eastAsia="Calibri" w:hAnsi="Calibri"/>
          <w:color w:val="334155"/>
          <w:sz w:val="21"/>
          <w:szCs w:val="21"/>
        </w:rPr>
        <w:t xml:space="preserve"> Real-time registry of all active device sessions displaying IP address, browser/OS fingerprint (User-Agent parsing), creation timestamp, and last activity date.</w:t>
      </w:r>
    </w:p>
    <w:p>
      <w:pPr>
        <w:pStyle w:val="ListParagraph"/>
        <w:numPr>
          <w:ilvl w:val="0"/>
          <w:numId w:val="1"/>
        </w:numPr>
        <w:spacing w:after="60" w:before="60" w:line="260"/>
      </w:pPr>
      <w:r>
        <w:rPr>
          <w:rFonts w:ascii="Calibri" w:cs="Calibri" w:eastAsia="Calibri" w:hAnsi="Calibri"/>
          <w:b/>
          <w:bCs/>
          <w:color w:val="0F172A"/>
          <w:sz w:val="21"/>
          <w:szCs w:val="21"/>
        </w:rPr>
        <w:t xml:space="preserve">Remote Session Revocation:</w:t>
      </w:r>
      <w:r>
        <w:rPr>
          <w:rFonts w:ascii="Calibri" w:cs="Calibri" w:eastAsia="Calibri" w:hAnsi="Calibri"/>
          <w:color w:val="334155"/>
          <w:sz w:val="21"/>
          <w:szCs w:val="21"/>
        </w:rPr>
        <w:t xml:space="preserve"> Users can remotely revoke specific suspicious device sessions or execute a "Revoke All Other Sessions" command to immediately invalidate refresh tokens across compromised devices.</w:t>
      </w:r>
    </w:p>
    <w:p>
      <w:pPr>
        <w:pStyle w:val="Heading1"/>
        <w:spacing w:after="180" w:before="400"/>
      </w:pPr>
      <w:r>
        <w:rPr>
          <w:rFonts w:ascii="Calibri" w:cs="Calibri" w:eastAsia="Calibri" w:hAnsi="Calibri"/>
          <w:b/>
          <w:bCs/>
          <w:color w:val="1E3A8A"/>
          <w:sz w:val="32"/>
          <w:szCs w:val="32"/>
        </w:rPr>
        <w:t xml:space="preserve">4. Complete REST API Specification</w:t>
      </w:r>
    </w:p>
    <w:p>
      <w:pPr>
        <w:spacing w:after="120" w:before="80" w:line="280"/>
      </w:pPr>
      <w:r>
        <w:rPr>
          <w:rFonts w:ascii="Calibri" w:cs="Calibri" w:eastAsia="Calibri" w:hAnsi="Calibri"/>
          <w:color w:val="334155"/>
          <w:sz w:val="22"/>
          <w:szCs w:val="22"/>
        </w:rPr>
        <w:t xml:space="preserve">All endpoints are prefixed with /api/v1 and return standardized JSON envelopes: { success: true, message: "...", data: { ... }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54"/>
        <w:gridCol w:w="3159"/>
        <w:gridCol w:w="1805"/>
        <w:gridCol w:w="2708"/>
      </w:tblGrid>
      <w:tr>
        <w:tc>
          <w:tcPr>
            <w:tcW w:type="pct" w:w="750"/>
            <w:tcBorders>
              <w:top w:val="single" w:color="CBD5E1" w:sz="1"/>
              <w:left w:val="single" w:color="CBD5E1" w:sz="1"/>
              <w:bottom w:val="single" w:color="CBD5E1" w:sz="1"/>
              <w:right w:val="single" w:color="CBD5E1" w:sz="1"/>
            </w:tcBorders>
            <w:shd w:fill="1E293B" w:val="clear"/>
            <w:tcMar>
              <w:top w:type="dxa" w:w="140"/>
              <w:left w:type="dxa" w:w="180"/>
              <w:bottom w:type="dxa" w:w="140"/>
              <w:right w:type="dxa" w:w="180"/>
            </w:tcMar>
          </w:tcPr>
          <w:p>
            <w:r>
              <w:rPr>
                <w:rFonts w:ascii="Calibri" w:cs="Calibri" w:eastAsia="Calibri" w:hAnsi="Calibri"/>
                <w:b/>
                <w:bCs/>
                <w:color w:val="FFFFFF"/>
                <w:sz w:val="20"/>
                <w:szCs w:val="20"/>
              </w:rPr>
              <w:t xml:space="preserve">Method</w:t>
            </w:r>
          </w:p>
        </w:tc>
        <w:tc>
          <w:tcPr>
            <w:tcW w:type="pct" w:w="1750"/>
            <w:tcBorders>
              <w:top w:val="single" w:color="CBD5E1" w:sz="1"/>
              <w:left w:val="single" w:color="CBD5E1" w:sz="1"/>
              <w:bottom w:val="single" w:color="CBD5E1" w:sz="1"/>
              <w:right w:val="single" w:color="CBD5E1" w:sz="1"/>
            </w:tcBorders>
            <w:shd w:fill="1E293B" w:val="clear"/>
            <w:tcMar>
              <w:top w:type="dxa" w:w="140"/>
              <w:left w:type="dxa" w:w="180"/>
              <w:bottom w:type="dxa" w:w="140"/>
              <w:right w:type="dxa" w:w="180"/>
            </w:tcMar>
          </w:tcPr>
          <w:p>
            <w:r>
              <w:rPr>
                <w:rFonts w:ascii="Calibri" w:cs="Calibri" w:eastAsia="Calibri" w:hAnsi="Calibri"/>
                <w:b/>
                <w:bCs/>
                <w:color w:val="FFFFFF"/>
                <w:sz w:val="20"/>
                <w:szCs w:val="20"/>
              </w:rPr>
              <w:t xml:space="preserve">Endpoint</w:t>
            </w:r>
          </w:p>
        </w:tc>
        <w:tc>
          <w:tcPr>
            <w:tcW w:type="pct" w:w="1000"/>
            <w:tcBorders>
              <w:top w:val="single" w:color="CBD5E1" w:sz="1"/>
              <w:left w:val="single" w:color="CBD5E1" w:sz="1"/>
              <w:bottom w:val="single" w:color="CBD5E1" w:sz="1"/>
              <w:right w:val="single" w:color="CBD5E1" w:sz="1"/>
            </w:tcBorders>
            <w:shd w:fill="1E293B" w:val="clear"/>
            <w:tcMar>
              <w:top w:type="dxa" w:w="140"/>
              <w:left w:type="dxa" w:w="180"/>
              <w:bottom w:type="dxa" w:w="140"/>
              <w:right w:type="dxa" w:w="180"/>
            </w:tcMar>
          </w:tcPr>
          <w:p>
            <w:r>
              <w:rPr>
                <w:rFonts w:ascii="Calibri" w:cs="Calibri" w:eastAsia="Calibri" w:hAnsi="Calibri"/>
                <w:b/>
                <w:bCs/>
                <w:color w:val="FFFFFF"/>
                <w:sz w:val="20"/>
                <w:szCs w:val="20"/>
              </w:rPr>
              <w:t xml:space="preserve">Access Level</w:t>
            </w:r>
          </w:p>
        </w:tc>
        <w:tc>
          <w:tcPr>
            <w:tcW w:type="pct" w:w="1500"/>
            <w:tcBorders>
              <w:top w:val="single" w:color="CBD5E1" w:sz="1"/>
              <w:left w:val="single" w:color="CBD5E1" w:sz="1"/>
              <w:bottom w:val="single" w:color="CBD5E1" w:sz="1"/>
              <w:right w:val="single" w:color="CBD5E1" w:sz="1"/>
            </w:tcBorders>
            <w:shd w:fill="1E293B" w:val="clear"/>
            <w:tcMar>
              <w:top w:type="dxa" w:w="140"/>
              <w:left w:type="dxa" w:w="180"/>
              <w:bottom w:type="dxa" w:w="140"/>
              <w:right w:type="dxa" w:w="180"/>
            </w:tcMar>
          </w:tcPr>
          <w:p>
            <w:r>
              <w:rPr>
                <w:rFonts w:ascii="Calibri" w:cs="Calibri" w:eastAsia="Calibri" w:hAnsi="Calibri"/>
                <w:b/>
                <w:bCs/>
                <w:color w:val="FFFFFF"/>
                <w:sz w:val="20"/>
                <w:szCs w:val="20"/>
              </w:rPr>
              <w:t xml:space="preserve">Description</w:t>
            </w:r>
          </w:p>
        </w:tc>
      </w:tr>
      <w:tr>
        <w:tc>
          <w:tcPr>
            <w:tcW w:type="pct" w:w="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bCs/>
                <w:color w:val="334155"/>
                <w:sz w:val="19"/>
                <w:szCs w:val="19"/>
              </w:rPr>
              <w:t xml:space="preserve">POST</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/api/v1/auth/login</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Public</w:t>
            </w:r>
          </w:p>
        </w:tc>
        <w:tc>
          <w:tcPr>
            <w:tcW w:type="pct" w:w="15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Authenticates user, sets HttpOnly cookies and returns token</w:t>
            </w:r>
          </w:p>
        </w:tc>
      </w:tr>
      <w:tr>
        <w:tc>
          <w:tcPr>
            <w:tcW w:type="pct" w:w="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bCs/>
                <w:color w:val="334155"/>
                <w:sz w:val="19"/>
                <w:szCs w:val="19"/>
              </w:rPr>
              <w:t xml:space="preserve">POST</w:t>
            </w:r>
          </w:p>
        </w:tc>
        <w:tc>
          <w:tcPr>
            <w:tcW w:type="pct" w:w="1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/api/v1/auth/refresh</w:t>
            </w:r>
          </w:p>
        </w:tc>
        <w:tc>
          <w:tcPr>
            <w:tcW w:type="pct" w:w="10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Public (Cookie)</w:t>
            </w:r>
          </w:p>
        </w:tc>
        <w:tc>
          <w:tcPr>
            <w:tcW w:type="pct" w:w="15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Rotates expired access tokens using valid refresh tokens</w:t>
            </w:r>
          </w:p>
        </w:tc>
      </w:tr>
      <w:tr>
        <w:tc>
          <w:tcPr>
            <w:tcW w:type="pct" w:w="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bCs/>
                <w:color w:val="334155"/>
                <w:sz w:val="19"/>
                <w:szCs w:val="19"/>
              </w:rPr>
              <w:t xml:space="preserve">GET</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/api/v1/auth/me</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Authenticated</w:t>
            </w:r>
          </w:p>
        </w:tc>
        <w:tc>
          <w:tcPr>
            <w:tcW w:type="pct" w:w="15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Returns active user profile, tenant info, and permissions</w:t>
            </w:r>
          </w:p>
        </w:tc>
      </w:tr>
      <w:tr>
        <w:tc>
          <w:tcPr>
            <w:tcW w:type="pct" w:w="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bCs/>
                <w:color w:val="334155"/>
                <w:sz w:val="19"/>
                <w:szCs w:val="19"/>
              </w:rPr>
              <w:t xml:space="preserve">GET/POST</w:t>
            </w:r>
          </w:p>
        </w:tc>
        <w:tc>
          <w:tcPr>
            <w:tcW w:type="pct" w:w="1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/api/v1/leads</w:t>
            </w:r>
          </w:p>
        </w:tc>
        <w:tc>
          <w:tcPr>
            <w:tcW w:type="pct" w:w="10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LEAD_READ / CREATE</w:t>
            </w:r>
          </w:p>
        </w:tc>
        <w:tc>
          <w:tcPr>
            <w:tcW w:type="pct" w:w="15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Paginated list of leads with AI scores; create new lead</w:t>
            </w:r>
          </w:p>
        </w:tc>
      </w:tr>
      <w:tr>
        <w:tc>
          <w:tcPr>
            <w:tcW w:type="pct" w:w="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bCs/>
                <w:color w:val="334155"/>
                <w:sz w:val="19"/>
                <w:szCs w:val="19"/>
              </w:rPr>
              <w:t xml:space="preserve">POST</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/api/v1/leads/:id/convert</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LEAD_CONVERT</w:t>
            </w:r>
          </w:p>
        </w:tc>
        <w:tc>
          <w:tcPr>
            <w:tcW w:type="pct" w:w="15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Atomically converts lead into Contact, Company, and Deal</w:t>
            </w:r>
          </w:p>
        </w:tc>
      </w:tr>
      <w:tr>
        <w:tc>
          <w:tcPr>
            <w:tcW w:type="pct" w:w="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bCs/>
                <w:color w:val="334155"/>
                <w:sz w:val="19"/>
                <w:szCs w:val="19"/>
              </w:rPr>
              <w:t xml:space="preserve">GET/POST</w:t>
            </w:r>
          </w:p>
        </w:tc>
        <w:tc>
          <w:tcPr>
            <w:tcW w:type="pct" w:w="1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/api/v1/deals</w:t>
            </w:r>
          </w:p>
        </w:tc>
        <w:tc>
          <w:tcPr>
            <w:tcW w:type="pct" w:w="10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DEAL_READ / CREATE</w:t>
            </w:r>
          </w:p>
        </w:tc>
        <w:tc>
          <w:tcPr>
            <w:tcW w:type="pct" w:w="15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Paginated deals list with stage and owner filters; create deal</w:t>
            </w:r>
          </w:p>
        </w:tc>
      </w:tr>
      <w:tr>
        <w:tc>
          <w:tcPr>
            <w:tcW w:type="pct" w:w="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bCs/>
                <w:color w:val="334155"/>
                <w:sz w:val="19"/>
                <w:szCs w:val="19"/>
              </w:rPr>
              <w:t xml:space="preserve">GET</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/api/v1/deals/kanban</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DEAL_READ</w:t>
            </w:r>
          </w:p>
        </w:tc>
        <w:tc>
          <w:tcPr>
            <w:tcW w:type="pct" w:w="15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Deals grouped by pipeline stages with stage aggregates</w:t>
            </w:r>
          </w:p>
        </w:tc>
      </w:tr>
      <w:tr>
        <w:tc>
          <w:tcPr>
            <w:tcW w:type="pct" w:w="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bCs/>
                <w:color w:val="334155"/>
                <w:sz w:val="19"/>
                <w:szCs w:val="19"/>
              </w:rPr>
              <w:t xml:space="preserve">PATCH</w:t>
            </w:r>
          </w:p>
        </w:tc>
        <w:tc>
          <w:tcPr>
            <w:tcW w:type="pct" w:w="1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/api/v1/deals/:id/stage</w:t>
            </w:r>
          </w:p>
        </w:tc>
        <w:tc>
          <w:tcPr>
            <w:tcW w:type="pct" w:w="10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DEAL_UPDATE</w:t>
            </w:r>
          </w:p>
        </w:tc>
        <w:tc>
          <w:tcPr>
            <w:tcW w:type="pct" w:w="15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Updates deal stage and probability via drag-and-drop</w:t>
            </w:r>
          </w:p>
        </w:tc>
      </w:tr>
      <w:tr>
        <w:tc>
          <w:tcPr>
            <w:tcW w:type="pct" w:w="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bCs/>
                <w:color w:val="334155"/>
                <w:sz w:val="19"/>
                <w:szCs w:val="19"/>
              </w:rPr>
              <w:t xml:space="preserve">GET/POST</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/api/v1/activities</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ACTIVITY_READ/WRITE</w:t>
            </w:r>
          </w:p>
        </w:tc>
        <w:tc>
          <w:tcPr>
            <w:tcW w:type="pct" w:w="15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Logs tasks, calls, meetings; returns scheduled activities</w:t>
            </w:r>
          </w:p>
        </w:tc>
      </w:tr>
      <w:tr>
        <w:tc>
          <w:tcPr>
            <w:tcW w:type="pct" w:w="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bCs/>
                <w:color w:val="334155"/>
                <w:sz w:val="19"/>
                <w:szCs w:val="19"/>
              </w:rPr>
              <w:t xml:space="preserve">GET</w:t>
            </w:r>
          </w:p>
        </w:tc>
        <w:tc>
          <w:tcPr>
            <w:tcW w:type="pct" w:w="1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/api/v1/quotes/:id/pdf</w:t>
            </w:r>
          </w:p>
        </w:tc>
        <w:tc>
          <w:tcPr>
            <w:tcW w:type="pct" w:w="10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QUOTE_READ</w:t>
            </w:r>
          </w:p>
        </w:tc>
        <w:tc>
          <w:tcPr>
            <w:tcW w:type="pct" w:w="15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Generates and streams official PDF quotation document</w:t>
            </w:r>
          </w:p>
        </w:tc>
      </w:tr>
      <w:tr>
        <w:tc>
          <w:tcPr>
            <w:tcW w:type="pct" w:w="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bCs/>
                <w:color w:val="334155"/>
                <w:sz w:val="19"/>
                <w:szCs w:val="19"/>
              </w:rPr>
              <w:t xml:space="preserve">POST</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/api/v1/quotes/:id/approve</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QUOTE_APPROVE</w:t>
            </w:r>
          </w:p>
        </w:tc>
        <w:tc>
          <w:tcPr>
            <w:tcW w:type="pct" w:w="15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Manager/Admin approval for high-discount quotations</w:t>
            </w:r>
          </w:p>
        </w:tc>
      </w:tr>
      <w:tr>
        <w:tc>
          <w:tcPr>
            <w:tcW w:type="pct" w:w="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bCs/>
                <w:color w:val="334155"/>
                <w:sz w:val="19"/>
                <w:szCs w:val="19"/>
              </w:rPr>
              <w:t xml:space="preserve">GET</w:t>
            </w:r>
          </w:p>
        </w:tc>
        <w:tc>
          <w:tcPr>
            <w:tcW w:type="pct" w:w="1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/api/v1/reports/summary</w:t>
            </w:r>
          </w:p>
        </w:tc>
        <w:tc>
          <w:tcPr>
            <w:tcW w:type="pct" w:w="10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REPORT_VIEW</w:t>
            </w:r>
          </w:p>
        </w:tc>
        <w:tc>
          <w:tcPr>
            <w:tcW w:type="pct" w:w="15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Executive dashboard metrics (pipeline, won, win rate)</w:t>
            </w:r>
          </w:p>
        </w:tc>
      </w:tr>
      <w:tr>
        <w:tc>
          <w:tcPr>
            <w:tcW w:type="pct" w:w="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bCs/>
                <w:color w:val="334155"/>
                <w:sz w:val="19"/>
                <w:szCs w:val="19"/>
              </w:rPr>
              <w:t xml:space="preserve">GET</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/api/v1/reports/funnel</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REPORT_VIEW</w:t>
            </w:r>
          </w:p>
        </w:tc>
        <w:tc>
          <w:tcPr>
            <w:tcW w:type="pct" w:w="15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Conversion funnel metrics and stage drop-off analysis</w:t>
            </w:r>
          </w:p>
        </w:tc>
      </w:tr>
      <w:tr>
        <w:tc>
          <w:tcPr>
            <w:tcW w:type="pct" w:w="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bCs/>
                <w:color w:val="334155"/>
                <w:sz w:val="19"/>
                <w:szCs w:val="19"/>
              </w:rPr>
              <w:t xml:space="preserve">GET/POST</w:t>
            </w:r>
          </w:p>
        </w:tc>
        <w:tc>
          <w:tcPr>
            <w:tcW w:type="pct" w:w="1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/api/v1/import &amp; /export</w:t>
            </w:r>
          </w:p>
        </w:tc>
        <w:tc>
          <w:tcPr>
            <w:tcW w:type="pct" w:w="10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IMPORT_EXPORT</w:t>
            </w:r>
          </w:p>
        </w:tc>
        <w:tc>
          <w:tcPr>
            <w:tcW w:type="pct" w:w="15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High-speed streaming CSV and Excel bulk data transfers</w:t>
            </w:r>
          </w:p>
        </w:tc>
      </w:tr>
      <w:tr>
        <w:tc>
          <w:tcPr>
            <w:tcW w:type="pct" w:w="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bCs/>
                <w:color w:val="334155"/>
                <w:sz w:val="19"/>
                <w:szCs w:val="19"/>
              </w:rPr>
              <w:t xml:space="preserve">GET</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/api/v1/notifications</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Authenticated</w:t>
            </w:r>
          </w:p>
        </w:tc>
        <w:tc>
          <w:tcPr>
            <w:tcW w:type="pct" w:w="15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Paginated notifications with read/unread and type filtering</w:t>
            </w:r>
          </w:p>
        </w:tc>
      </w:tr>
      <w:tr>
        <w:tc>
          <w:tcPr>
            <w:tcW w:type="pct" w:w="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bCs/>
                <w:color w:val="334155"/>
                <w:sz w:val="19"/>
                <w:szCs w:val="19"/>
              </w:rPr>
              <w:t xml:space="preserve">GET</w:t>
            </w:r>
          </w:p>
        </w:tc>
        <w:tc>
          <w:tcPr>
            <w:tcW w:type="pct" w:w="1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/api/v1/notifications/unread-count</w:t>
            </w:r>
          </w:p>
        </w:tc>
        <w:tc>
          <w:tcPr>
            <w:tcW w:type="pct" w:w="10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Authenticated</w:t>
            </w:r>
          </w:p>
        </w:tc>
        <w:tc>
          <w:tcPr>
            <w:tcW w:type="pct" w:w="15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Lightweight unread count query for header navigation badge</w:t>
            </w:r>
          </w:p>
        </w:tc>
      </w:tr>
      <w:tr>
        <w:tc>
          <w:tcPr>
            <w:tcW w:type="pct" w:w="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bCs/>
                <w:color w:val="334155"/>
                <w:sz w:val="19"/>
                <w:szCs w:val="19"/>
              </w:rPr>
              <w:t xml:space="preserve">PATCH</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/api/v1/notifications/:id/read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Authenticated</w:t>
            </w:r>
          </w:p>
        </w:tc>
        <w:tc>
          <w:tcPr>
            <w:tcW w:type="pct" w:w="15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Marks a specific notification as read</w:t>
            </w:r>
          </w:p>
        </w:tc>
      </w:tr>
      <w:tr>
        <w:tc>
          <w:tcPr>
            <w:tcW w:type="pct" w:w="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bCs/>
                <w:color w:val="334155"/>
                <w:sz w:val="19"/>
                <w:szCs w:val="19"/>
              </w:rPr>
              <w:t xml:space="preserve">PATCH</w:t>
            </w:r>
          </w:p>
        </w:tc>
        <w:tc>
          <w:tcPr>
            <w:tcW w:type="pct" w:w="1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/api/v1/notifications/mark-all-read</w:t>
            </w:r>
          </w:p>
        </w:tc>
        <w:tc>
          <w:tcPr>
            <w:tcW w:type="pct" w:w="10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Authenticated</w:t>
            </w:r>
          </w:p>
        </w:tc>
        <w:tc>
          <w:tcPr>
            <w:tcW w:type="pct" w:w="15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Marks all user notifications as read in single operation</w:t>
            </w:r>
          </w:p>
        </w:tc>
      </w:tr>
      <w:tr>
        <w:tc>
          <w:tcPr>
            <w:tcW w:type="pct" w:w="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bCs/>
                <w:color w:val="334155"/>
                <w:sz w:val="19"/>
                <w:szCs w:val="19"/>
              </w:rPr>
              <w:t xml:space="preserve">DELETE</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/api/v1/notifications/:id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Authenticated</w:t>
            </w:r>
          </w:p>
        </w:tc>
        <w:tc>
          <w:tcPr>
            <w:tcW w:type="pct" w:w="15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Deletes a single notification record permanently</w:t>
            </w:r>
          </w:p>
        </w:tc>
      </w:tr>
      <w:tr>
        <w:tc>
          <w:tcPr>
            <w:tcW w:type="pct" w:w="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bCs/>
                <w:color w:val="334155"/>
                <w:sz w:val="19"/>
                <w:szCs w:val="19"/>
              </w:rPr>
              <w:t xml:space="preserve">PATCH</w:t>
            </w:r>
          </w:p>
        </w:tc>
        <w:tc>
          <w:tcPr>
            <w:tcW w:type="pct" w:w="1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/api/v1/auth/profile</w:t>
            </w:r>
          </w:p>
        </w:tc>
        <w:tc>
          <w:tcPr>
            <w:tcW w:type="pct" w:w="10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Authenticated</w:t>
            </w:r>
          </w:p>
        </w:tc>
        <w:tc>
          <w:tcPr>
            <w:tcW w:type="pct" w:w="15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Updates profile fields (firstName, lastName, phone, avatar)</w:t>
            </w:r>
          </w:p>
        </w:tc>
      </w:tr>
      <w:tr>
        <w:tc>
          <w:tcPr>
            <w:tcW w:type="pct" w:w="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bCs/>
                <w:color w:val="334155"/>
                <w:sz w:val="19"/>
                <w:szCs w:val="19"/>
              </w:rPr>
              <w:t xml:space="preserve">PATCH</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/api/v1/auth/change-password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Authenticated</w:t>
            </w:r>
          </w:p>
        </w:tc>
        <w:tc>
          <w:tcPr>
            <w:tcW w:type="pct" w:w="15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Validates current password and sets new password</w:t>
            </w:r>
          </w:p>
        </w:tc>
      </w:tr>
      <w:tr>
        <w:tc>
          <w:tcPr>
            <w:tcW w:type="pct" w:w="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bCs/>
                <w:color w:val="334155"/>
                <w:sz w:val="19"/>
                <w:szCs w:val="19"/>
              </w:rPr>
              <w:t xml:space="preserve">GET</w:t>
            </w:r>
          </w:p>
        </w:tc>
        <w:tc>
          <w:tcPr>
            <w:tcW w:type="pct" w:w="1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/api/v1/auth/sessions</w:t>
            </w:r>
          </w:p>
        </w:tc>
        <w:tc>
          <w:tcPr>
            <w:tcW w:type="pct" w:w="10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Authenticated</w:t>
            </w:r>
          </w:p>
        </w:tc>
        <w:tc>
          <w:tcPr>
            <w:tcW w:type="pct" w:w="15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Lists all active device sessions with browser/IP details</w:t>
            </w:r>
          </w:p>
        </w:tc>
      </w:tr>
      <w:tr>
        <w:tc>
          <w:tcPr>
            <w:tcW w:type="pct" w:w="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bCs/>
                <w:color w:val="334155"/>
                <w:sz w:val="19"/>
                <w:szCs w:val="19"/>
              </w:rPr>
              <w:t xml:space="preserve">DELETE</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/api/v1/auth/sessions/:id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Authenticated</w:t>
            </w:r>
          </w:p>
        </w:tc>
        <w:tc>
          <w:tcPr>
            <w:tcW w:type="pct" w:w="15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Revokes a specific remote device session</w:t>
            </w:r>
          </w:p>
        </w:tc>
      </w:tr>
      <w:tr>
        <w:tc>
          <w:tcPr>
            <w:tcW w:type="pct" w:w="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bCs/>
                <w:color w:val="334155"/>
                <w:sz w:val="19"/>
                <w:szCs w:val="19"/>
              </w:rPr>
              <w:t xml:space="preserve">DELETE</w:t>
            </w:r>
          </w:p>
        </w:tc>
        <w:tc>
          <w:tcPr>
            <w:tcW w:type="pct" w:w="1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/api/v1/auth/sessions</w:t>
            </w:r>
          </w:p>
        </w:tc>
        <w:tc>
          <w:tcPr>
            <w:tcW w:type="pct" w:w="10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Authenticated</w:t>
            </w:r>
          </w:p>
        </w:tc>
        <w:tc>
          <w:tcPr>
            <w:tcW w:type="pct" w:w="15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Revokes all other active sessions across user devices</w:t>
            </w:r>
          </w:p>
        </w:tc>
      </w:tr>
    </w:tbl>
    <w:p>
      <w:pPr>
        <w:pStyle w:val="Heading1"/>
        <w:spacing w:after="180" w:before="400"/>
      </w:pPr>
      <w:r>
        <w:rPr>
          <w:rFonts w:ascii="Calibri" w:cs="Calibri" w:eastAsia="Calibri" w:hAnsi="Calibri"/>
          <w:b/>
          <w:bCs/>
          <w:color w:val="1E3A8A"/>
          <w:sz w:val="32"/>
          <w:szCs w:val="32"/>
        </w:rPr>
        <w:t xml:space="preserve">5. Database Schema &amp; Data Dictionary</w:t>
      </w:r>
    </w:p>
    <w:p>
      <w:pPr>
        <w:spacing w:after="120" w:before="80" w:line="280"/>
      </w:pPr>
      <w:r>
        <w:rPr>
          <w:rFonts w:ascii="Calibri" w:cs="Calibri" w:eastAsia="Calibri" w:hAnsi="Calibri"/>
          <w:color w:val="334155"/>
          <w:sz w:val="22"/>
          <w:szCs w:val="22"/>
        </w:rPr>
        <w:t xml:space="preserve">NexusCRM models are strictly typed via Mongoose schemas and enforce multi-tenant isolation through indexed tenantId fields.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4062"/>
        <w:gridCol w:w="3159"/>
      </w:tblGrid>
      <w:tr>
        <w:tc>
          <w:tcPr>
            <w:tcW w:type="pct" w:w="1000"/>
            <w:tcBorders>
              <w:top w:val="single" w:color="CBD5E1" w:sz="1"/>
              <w:left w:val="single" w:color="CBD5E1" w:sz="1"/>
              <w:bottom w:val="single" w:color="CBD5E1" w:sz="1"/>
              <w:right w:val="single" w:color="CBD5E1" w:sz="1"/>
            </w:tcBorders>
            <w:shd w:fill="1E293B" w:val="clear"/>
            <w:tcMar>
              <w:top w:type="dxa" w:w="140"/>
              <w:left w:type="dxa" w:w="180"/>
              <w:bottom w:type="dxa" w:w="140"/>
              <w:right w:type="dxa" w:w="180"/>
            </w:tcMar>
          </w:tcPr>
          <w:p>
            <w:r>
              <w:rPr>
                <w:rFonts w:ascii="Calibri" w:cs="Calibri" w:eastAsia="Calibri" w:hAnsi="Calibri"/>
                <w:b/>
                <w:bCs/>
                <w:color w:val="FFFFFF"/>
                <w:sz w:val="20"/>
                <w:szCs w:val="20"/>
              </w:rPr>
              <w:t xml:space="preserve">Model Name</w:t>
            </w:r>
          </w:p>
        </w:tc>
        <w:tc>
          <w:tcPr>
            <w:tcW w:type="pct" w:w="2250"/>
            <w:tcBorders>
              <w:top w:val="single" w:color="CBD5E1" w:sz="1"/>
              <w:left w:val="single" w:color="CBD5E1" w:sz="1"/>
              <w:bottom w:val="single" w:color="CBD5E1" w:sz="1"/>
              <w:right w:val="single" w:color="CBD5E1" w:sz="1"/>
            </w:tcBorders>
            <w:shd w:fill="1E293B" w:val="clear"/>
            <w:tcMar>
              <w:top w:type="dxa" w:w="140"/>
              <w:left w:type="dxa" w:w="180"/>
              <w:bottom w:type="dxa" w:w="140"/>
              <w:right w:type="dxa" w:w="180"/>
            </w:tcMar>
          </w:tcPr>
          <w:p>
            <w:r>
              <w:rPr>
                <w:rFonts w:ascii="Calibri" w:cs="Calibri" w:eastAsia="Calibri" w:hAnsi="Calibri"/>
                <w:b/>
                <w:bCs/>
                <w:color w:val="FFFFFF"/>
                <w:sz w:val="20"/>
                <w:szCs w:val="20"/>
              </w:rPr>
              <w:t xml:space="preserve">Primary Fields</w:t>
            </w:r>
          </w:p>
        </w:tc>
        <w:tc>
          <w:tcPr>
            <w:tcW w:type="pct" w:w="1750"/>
            <w:tcBorders>
              <w:top w:val="single" w:color="CBD5E1" w:sz="1"/>
              <w:left w:val="single" w:color="CBD5E1" w:sz="1"/>
              <w:bottom w:val="single" w:color="CBD5E1" w:sz="1"/>
              <w:right w:val="single" w:color="CBD5E1" w:sz="1"/>
            </w:tcBorders>
            <w:shd w:fill="1E293B" w:val="clear"/>
            <w:tcMar>
              <w:top w:type="dxa" w:w="140"/>
              <w:left w:type="dxa" w:w="180"/>
              <w:bottom w:type="dxa" w:w="140"/>
              <w:right w:type="dxa" w:w="180"/>
            </w:tcMar>
          </w:tcPr>
          <w:p>
            <w:r>
              <w:rPr>
                <w:rFonts w:ascii="Calibri" w:cs="Calibri" w:eastAsia="Calibri" w:hAnsi="Calibri"/>
                <w:b/>
                <w:bCs/>
                <w:color w:val="FFFFFF"/>
                <w:sz w:val="20"/>
                <w:szCs w:val="20"/>
              </w:rPr>
              <w:t xml:space="preserve">Relationships &amp; Key Indexes</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bCs/>
                <w:color w:val="334155"/>
                <w:sz w:val="19"/>
                <w:szCs w:val="19"/>
              </w:rPr>
              <w:t xml:space="preserve">Tenant</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name, subdomain, status, subscription { plan, validTill }</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Unique index on subdomain; Root tenant partition</w:t>
            </w:r>
          </w:p>
        </w:tc>
      </w:tr>
      <w:tr>
        <w:tc>
          <w:tcPr>
            <w:tcW w:type="pct" w:w="10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bCs/>
                <w:color w:val="334155"/>
                <w:sz w:val="19"/>
                <w:szCs w:val="19"/>
              </w:rPr>
              <w:t xml:space="preserve">User</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tenantId, firstName, lastName, email, passwordHash, role, isActive</w:t>
            </w:r>
          </w:p>
        </w:tc>
        <w:tc>
          <w:tcPr>
            <w:tcW w:type="pct" w:w="1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Compound unique index on (tenantId, email)</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bCs/>
                <w:color w:val="334155"/>
                <w:sz w:val="19"/>
                <w:szCs w:val="19"/>
              </w:rPr>
              <w:t xml:space="preserve">Lead</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tenantId, firstName, lastName, email, company, jobTitle, score, status, source, ownerId</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Compound index on (tenantId, status, score); Text search index</w:t>
            </w:r>
          </w:p>
        </w:tc>
      </w:tr>
      <w:tr>
        <w:tc>
          <w:tcPr>
            <w:tcW w:type="pct" w:w="10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bCs/>
                <w:color w:val="334155"/>
                <w:sz w:val="19"/>
                <w:szCs w:val="19"/>
              </w:rPr>
              <w:t xml:space="preserve">Company</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tenantId, name, domain, industry, size, phone, annualRevenue, ownerId</w:t>
            </w:r>
          </w:p>
        </w:tc>
        <w:tc>
          <w:tcPr>
            <w:tcW w:type="pct" w:w="1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Compound unique index on (tenantId, domain); Text search</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bCs/>
                <w:color w:val="334155"/>
                <w:sz w:val="19"/>
                <w:szCs w:val="19"/>
              </w:rPr>
              <w:t xml:space="preserve">Contact</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tenantId, firstName, lastName, email, phone, companyId, jobTitle, isPrimary</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Compound index on (tenantId, email); Foreign key to Company</w:t>
            </w:r>
          </w:p>
        </w:tc>
      </w:tr>
      <w:tr>
        <w:tc>
          <w:tcPr>
            <w:tcW w:type="pct" w:w="10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bCs/>
                <w:color w:val="334155"/>
                <w:sz w:val="19"/>
                <w:szCs w:val="19"/>
              </w:rPr>
              <w:t xml:space="preserve">Deal</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tenantId, title, value, pipelineId, stageId, probability, status, expectedClose, companyId</w:t>
            </w:r>
          </w:p>
        </w:tc>
        <w:tc>
          <w:tcPr>
            <w:tcW w:type="pct" w:w="1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Compound index on (tenantId, pipelineId, stageId, status)</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bCs/>
                <w:color w:val="334155"/>
                <w:sz w:val="19"/>
                <w:szCs w:val="19"/>
              </w:rPr>
              <w:t xml:space="preserve">Activity</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tenantId, type, title, status, priority, dueDate, assignedTo, leadId, dealId, contactId</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Polymorphic parent references; Index on (tenantId, dueDate)</w:t>
            </w:r>
          </w:p>
        </w:tc>
      </w:tr>
      <w:tr>
        <w:tc>
          <w:tcPr>
            <w:tcW w:type="pct" w:w="10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bCs/>
                <w:color w:val="334155"/>
                <w:sz w:val="19"/>
                <w:szCs w:val="19"/>
              </w:rPr>
              <w:t xml:space="preserve">Quote</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tenantId, quoteNumber, dealId, items[], subtotal, discount, total, status, approvalStatus</w:t>
            </w:r>
          </w:p>
        </w:tc>
        <w:tc>
          <w:tcPr>
            <w:tcW w:type="pct" w:w="1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Unique quoteNumber per tenant; Deal link</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bCs/>
                <w:color w:val="334155"/>
                <w:sz w:val="19"/>
                <w:szCs w:val="19"/>
              </w:rPr>
              <w:t xml:space="preserve">AuditLog</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tenantId, actorId, action, entityType, entityId, changes, ipAddress, userAgent</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Immutable security logs; TTL retention indexes</w:t>
            </w:r>
          </w:p>
        </w:tc>
      </w:tr>
      <w:tr>
        <w:tc>
          <w:tcPr>
            <w:tcW w:type="pct" w:w="100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bCs/>
                <w:color w:val="334155"/>
                <w:sz w:val="19"/>
                <w:szCs w:val="19"/>
              </w:rPr>
              <w:t xml:space="preserve">Notification</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tenantId, userId, title, message, type, link, isRead, readAt, metadata</w:t>
            </w:r>
          </w:p>
        </w:tc>
        <w:tc>
          <w:tcPr>
            <w:tcW w:type="pct" w:w="175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Compound index on (tenantId, userId, isRead, createdAt)</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bCs/>
                <w:color w:val="334155"/>
                <w:sz w:val="19"/>
                <w:szCs w:val="19"/>
              </w:rPr>
              <w:t xml:space="preserve">Session</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tenantId, userId, refreshTokenHash, ipAddress, userAgent, isValid, expiresAt, lastActiveAt</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80"/>
              <w:bottom w:type="dxa" w:w="120"/>
              <w:right w:type="dxa" w:w="180"/>
            </w:tcMar>
          </w:tcPr>
          <w:p>
            <w:r>
              <w:rPr>
                <w:rFonts w:ascii="Calibri" w:cs="Calibri" w:eastAsia="Calibri" w:hAnsi="Calibri"/>
                <w:b w:val="false"/>
                <w:bCs w:val="false"/>
                <w:color w:val="334155"/>
                <w:sz w:val="19"/>
                <w:szCs w:val="19"/>
              </w:rPr>
              <w:t xml:space="preserve">Compound index on (userId, isValid); TTL index on expiresAt</w:t>
            </w:r>
          </w:p>
        </w:tc>
      </w:tr>
    </w:tbl>
    <w:p>
      <w:pPr>
        <w:pStyle w:val="Heading1"/>
        <w:spacing w:after="180" w:before="400"/>
      </w:pPr>
      <w:r>
        <w:rPr>
          <w:rFonts w:ascii="Calibri" w:cs="Calibri" w:eastAsia="Calibri" w:hAnsi="Calibri"/>
          <w:b/>
          <w:bCs/>
          <w:color w:val="1E3A8A"/>
          <w:sz w:val="32"/>
          <w:szCs w:val="32"/>
        </w:rPr>
        <w:t xml:space="preserve">6. Local Setup, Seeding &amp; Cloud Deployment Guide</w:t>
      </w:r>
    </w:p>
    <w:p>
      <w:pPr>
        <w:spacing w:after="120" w:before="80" w:line="280"/>
      </w:pPr>
      <w:r>
        <w:rPr>
          <w:rFonts w:ascii="Calibri" w:cs="Calibri" w:eastAsia="Calibri" w:hAnsi="Calibri"/>
          <w:color w:val="334155"/>
          <w:sz w:val="22"/>
          <w:szCs w:val="22"/>
        </w:rPr>
        <w:t xml:space="preserve">The project is architected to run seamlessly in local development as well as containerized cloud environments.</w:t>
      </w:r>
    </w:p>
    <w:p>
      <w:pPr>
        <w:pStyle w:val="Heading2"/>
        <w:spacing w:after="120" w:before="280"/>
      </w:pPr>
      <w:r>
        <w:rPr>
          <w:rFonts w:ascii="Calibri" w:cs="Calibri" w:eastAsia="Calibri" w:hAnsi="Calibri"/>
          <w:b/>
          <w:bCs/>
          <w:color w:val="0F172A"/>
          <w:sz w:val="26"/>
          <w:szCs w:val="26"/>
        </w:rPr>
        <w:t xml:space="preserve">Local Development Quickstart</w:t>
      </w:r>
    </w:p>
    <w:p>
      <w:pPr>
        <w:pStyle w:val="ListParagraph"/>
        <w:numPr>
          <w:ilvl w:val="0"/>
          <w:numId w:val="1"/>
        </w:numPr>
        <w:spacing w:after="60" w:before="60" w:line="260"/>
      </w:pPr>
      <w:r>
        <w:rPr>
          <w:rFonts w:ascii="Calibri" w:cs="Calibri" w:eastAsia="Calibri" w:hAnsi="Calibri"/>
          <w:b/>
          <w:bCs/>
          <w:color w:val="0F172A"/>
          <w:sz w:val="21"/>
          <w:szCs w:val="21"/>
        </w:rPr>
        <w:t xml:space="preserve">Step 1:</w:t>
      </w:r>
      <w:r>
        <w:rPr>
          <w:rFonts w:ascii="Calibri" w:cs="Calibri" w:eastAsia="Calibri" w:hAnsi="Calibri"/>
          <w:color w:val="334155"/>
          <w:sz w:val="21"/>
          <w:szCs w:val="21"/>
        </w:rPr>
        <w:t xml:space="preserve"> Ensure Node.js 18+ and local MongoDB (port 27017) are installed.</w:t>
      </w:r>
    </w:p>
    <w:p>
      <w:pPr>
        <w:pStyle w:val="ListParagraph"/>
        <w:numPr>
          <w:ilvl w:val="0"/>
          <w:numId w:val="1"/>
        </w:numPr>
        <w:spacing w:after="60" w:before="60" w:line="260"/>
      </w:pPr>
      <w:r>
        <w:rPr>
          <w:rFonts w:ascii="Calibri" w:cs="Calibri" w:eastAsia="Calibri" w:hAnsi="Calibri"/>
          <w:b/>
          <w:bCs/>
          <w:color w:val="0F172A"/>
          <w:sz w:val="21"/>
          <w:szCs w:val="21"/>
        </w:rPr>
        <w:t xml:space="preserve">Step 2:</w:t>
      </w:r>
      <w:r>
        <w:rPr>
          <w:rFonts w:ascii="Calibri" w:cs="Calibri" w:eastAsia="Calibri" w:hAnsi="Calibri"/>
          <w:color w:val="334155"/>
          <w:sz w:val="21"/>
          <w:szCs w:val="21"/>
        </w:rPr>
        <w:t xml:space="preserve"> Open terminal in /server and run "npm install". Open terminal in /client and run "npm install".</w:t>
      </w:r>
    </w:p>
    <w:p>
      <w:pPr>
        <w:pStyle w:val="ListParagraph"/>
        <w:numPr>
          <w:ilvl w:val="0"/>
          <w:numId w:val="1"/>
        </w:numPr>
        <w:spacing w:after="60" w:before="60" w:line="260"/>
      </w:pPr>
      <w:r>
        <w:rPr>
          <w:rFonts w:ascii="Calibri" w:cs="Calibri" w:eastAsia="Calibri" w:hAnsi="Calibri"/>
          <w:b/>
          <w:bCs/>
          <w:color w:val="0F172A"/>
          <w:sz w:val="21"/>
          <w:szCs w:val="21"/>
        </w:rPr>
        <w:t xml:space="preserve">Step 3:</w:t>
      </w:r>
      <w:r>
        <w:rPr>
          <w:rFonts w:ascii="Calibri" w:cs="Calibri" w:eastAsia="Calibri" w:hAnsi="Calibri"/>
          <w:color w:val="334155"/>
          <w:sz w:val="21"/>
          <w:szCs w:val="21"/>
        </w:rPr>
        <w:t xml:space="preserve"> Configure server/.env with local MongoDB: MONGO_URI=mongodb://127.0.0.1:27017/crm_platform.</w:t>
      </w:r>
    </w:p>
    <w:p>
      <w:pPr>
        <w:pStyle w:val="ListParagraph"/>
        <w:numPr>
          <w:ilvl w:val="0"/>
          <w:numId w:val="1"/>
        </w:numPr>
        <w:spacing w:after="60" w:before="60" w:line="260"/>
      </w:pPr>
      <w:r>
        <w:rPr>
          <w:rFonts w:ascii="Calibri" w:cs="Calibri" w:eastAsia="Calibri" w:hAnsi="Calibri"/>
          <w:b/>
          <w:bCs/>
          <w:color w:val="0F172A"/>
          <w:sz w:val="21"/>
          <w:szCs w:val="21"/>
        </w:rPr>
        <w:t xml:space="preserve">Step 4 (Seed):</w:t>
      </w:r>
      <w:r>
        <w:rPr>
          <w:rFonts w:ascii="Calibri" w:cs="Calibri" w:eastAsia="Calibri" w:hAnsi="Calibri"/>
          <w:color w:val="334155"/>
          <w:sz w:val="21"/>
          <w:szCs w:val="21"/>
        </w:rPr>
        <w:t xml:space="preserve"> Populate local database with full enterprise demo dataset: "npm run seed" in /server.</w:t>
      </w:r>
    </w:p>
    <w:p>
      <w:pPr>
        <w:pStyle w:val="ListParagraph"/>
        <w:numPr>
          <w:ilvl w:val="0"/>
          <w:numId w:val="1"/>
        </w:numPr>
        <w:spacing w:after="60" w:before="60" w:line="260"/>
      </w:pPr>
      <w:r>
        <w:rPr>
          <w:rFonts w:ascii="Calibri" w:cs="Calibri" w:eastAsia="Calibri" w:hAnsi="Calibri"/>
          <w:b/>
          <w:bCs/>
          <w:color w:val="0F172A"/>
          <w:sz w:val="21"/>
          <w:szCs w:val="21"/>
        </w:rPr>
        <w:t xml:space="preserve">Step 5:</w:t>
      </w:r>
      <w:r>
        <w:rPr>
          <w:rFonts w:ascii="Calibri" w:cs="Calibri" w:eastAsia="Calibri" w:hAnsi="Calibri"/>
          <w:color w:val="334155"/>
          <w:sz w:val="21"/>
          <w:szCs w:val="21"/>
        </w:rPr>
        <w:t xml:space="preserve"> Start backend: "npm run dev" in /server (Port 5000). Start frontend: "npm run dev" in /client (Port 5173).</w:t>
      </w:r>
    </w:p>
    <w:p>
      <w:pPr>
        <w:pStyle w:val="ListParagraph"/>
        <w:numPr>
          <w:ilvl w:val="0"/>
          <w:numId w:val="1"/>
        </w:numPr>
        <w:spacing w:after="60" w:before="60" w:line="260"/>
      </w:pPr>
      <w:r>
        <w:rPr>
          <w:rFonts w:ascii="Calibri" w:cs="Calibri" w:eastAsia="Calibri" w:hAnsi="Calibri"/>
          <w:b/>
          <w:bCs/>
          <w:color w:val="0F172A"/>
          <w:sz w:val="21"/>
          <w:szCs w:val="21"/>
        </w:rPr>
        <w:t xml:space="preserve">Step 6:</w:t>
      </w:r>
      <w:r>
        <w:rPr>
          <w:rFonts w:ascii="Calibri" w:cs="Calibri" w:eastAsia="Calibri" w:hAnsi="Calibri"/>
          <w:color w:val="334155"/>
          <w:sz w:val="21"/>
          <w:szCs w:val="21"/>
        </w:rPr>
        <w:t xml:space="preserve"> Open http://localhost:5173. Login: admin@crm.io | Password: Password123!.</w:t>
      </w:r>
    </w:p>
    <w:p>
      <w:pPr>
        <w:pStyle w:val="Heading2"/>
        <w:spacing w:after="120" w:before="280"/>
      </w:pPr>
      <w:r>
        <w:rPr>
          <w:rFonts w:ascii="Calibri" w:cs="Calibri" w:eastAsia="Calibri" w:hAnsi="Calibri"/>
          <w:b/>
          <w:bCs/>
          <w:color w:val="0F172A"/>
          <w:sz w:val="26"/>
          <w:szCs w:val="26"/>
        </w:rPr>
        <w:t xml:space="preserve">Database Migration to MongoDB Atlas</w:t>
      </w:r>
    </w:p>
    <w:p>
      <w:pPr>
        <w:spacing w:after="120" w:before="80" w:line="280"/>
      </w:pPr>
      <w:r>
        <w:rPr>
          <w:rFonts w:ascii="Calibri" w:cs="Calibri" w:eastAsia="Calibri" w:hAnsi="Calibri"/>
          <w:color w:val="334155"/>
          <w:sz w:val="22"/>
          <w:szCs w:val="22"/>
        </w:rPr>
        <w:t xml:space="preserve">To synchronize local records to production MongoDB Atlas without external CLI tools, run our automated migration utility:</w:t>
      </w:r>
    </w:p>
    <w:p>
      <w:pPr>
        <w:pStyle w:val="ListParagraph"/>
        <w:numPr>
          <w:ilvl w:val="0"/>
          <w:numId w:val="1"/>
        </w:numPr>
        <w:spacing w:after="60" w:before="60" w:line="260"/>
      </w:pPr>
      <w:r>
        <w:rPr>
          <w:rFonts w:ascii="Calibri" w:cs="Calibri" w:eastAsia="Calibri" w:hAnsi="Calibri"/>
          <w:b/>
          <w:bCs/>
          <w:color w:val="0F172A"/>
          <w:sz w:val="21"/>
          <w:szCs w:val="21"/>
        </w:rPr>
        <w:t xml:space="preserve">Configure Atlas:</w:t>
      </w:r>
      <w:r>
        <w:rPr>
          <w:rFonts w:ascii="Calibri" w:cs="Calibri" w:eastAsia="Calibri" w:hAnsi="Calibri"/>
          <w:color w:val="334155"/>
          <w:sz w:val="21"/>
          <w:szCs w:val="21"/>
        </w:rPr>
        <w:t xml:space="preserve"> Set ATLAS_MONGO_URI in server/.env with your MongoDB Atlas connection string.</w:t>
      </w:r>
    </w:p>
    <w:p>
      <w:pPr>
        <w:pStyle w:val="ListParagraph"/>
        <w:numPr>
          <w:ilvl w:val="0"/>
          <w:numId w:val="1"/>
        </w:numPr>
        <w:spacing w:after="60" w:before="60" w:line="260"/>
      </w:pPr>
      <w:r>
        <w:rPr>
          <w:rFonts w:ascii="Calibri" w:cs="Calibri" w:eastAsia="Calibri" w:hAnsi="Calibri"/>
          <w:b/>
          <w:bCs/>
          <w:color w:val="0F172A"/>
          <w:sz w:val="21"/>
          <w:szCs w:val="21"/>
        </w:rPr>
        <w:t xml:space="preserve">Execute Migration:</w:t>
      </w:r>
      <w:r>
        <w:rPr>
          <w:rFonts w:ascii="Calibri" w:cs="Calibri" w:eastAsia="Calibri" w:hAnsi="Calibri"/>
          <w:color w:val="334155"/>
          <w:sz w:val="21"/>
          <w:szCs w:val="21"/>
        </w:rPr>
        <w:t xml:space="preserve"> Run "npm run migrate:atlas" in /server. All 16 collections and 1,500+ records will transfer automatically.</w:t>
      </w:r>
    </w:p>
    <w:p>
      <w:pPr>
        <w:pStyle w:val="Heading2"/>
        <w:spacing w:after="120" w:before="280"/>
      </w:pPr>
      <w:r>
        <w:rPr>
          <w:rFonts w:ascii="Calibri" w:cs="Calibri" w:eastAsia="Calibri" w:hAnsi="Calibri"/>
          <w:b/>
          <w:bCs/>
          <w:color w:val="0F172A"/>
          <w:sz w:val="26"/>
          <w:szCs w:val="26"/>
        </w:rPr>
        <w:t xml:space="preserve">Production Cloud Deployment (Vercel + Render)</w:t>
      </w:r>
    </w:p>
    <w:p>
      <w:pPr>
        <w:pStyle w:val="ListParagraph"/>
        <w:numPr>
          <w:ilvl w:val="0"/>
          <w:numId w:val="1"/>
        </w:numPr>
        <w:spacing w:after="60" w:before="60" w:line="260"/>
      </w:pPr>
      <w:r>
        <w:rPr>
          <w:rFonts w:ascii="Calibri" w:cs="Calibri" w:eastAsia="Calibri" w:hAnsi="Calibri"/>
          <w:b/>
          <w:bCs/>
          <w:color w:val="0F172A"/>
          <w:sz w:val="21"/>
          <w:szCs w:val="21"/>
        </w:rPr>
        <w:t xml:space="preserve">Frontend (Vercel):</w:t>
      </w:r>
      <w:r>
        <w:rPr>
          <w:rFonts w:ascii="Calibri" w:cs="Calibri" w:eastAsia="Calibri" w:hAnsi="Calibri"/>
          <w:color w:val="334155"/>
          <w:sz w:val="21"/>
          <w:szCs w:val="21"/>
        </w:rPr>
        <w:t xml:space="preserve"> Connect your GitHub repository to Vercel. Set framework to Vite, build command to "cd client &amp;&amp; npm install &amp;&amp; npm run build", and output directory to "client/dist". Set VITE_API_URL to your live Render backend URL.</w:t>
      </w:r>
    </w:p>
    <w:p>
      <w:pPr>
        <w:pStyle w:val="ListParagraph"/>
        <w:numPr>
          <w:ilvl w:val="0"/>
          <w:numId w:val="1"/>
        </w:numPr>
        <w:spacing w:after="60" w:before="60" w:line="260"/>
      </w:pPr>
      <w:r>
        <w:rPr>
          <w:rFonts w:ascii="Calibri" w:cs="Calibri" w:eastAsia="Calibri" w:hAnsi="Calibri"/>
          <w:b/>
          <w:bCs/>
          <w:color w:val="0F172A"/>
          <w:sz w:val="21"/>
          <w:szCs w:val="21"/>
        </w:rPr>
        <w:t xml:space="preserve">Backend (Render):</w:t>
      </w:r>
      <w:r>
        <w:rPr>
          <w:rFonts w:ascii="Calibri" w:cs="Calibri" w:eastAsia="Calibri" w:hAnsi="Calibri"/>
          <w:color w:val="334155"/>
          <w:sz w:val="21"/>
          <w:szCs w:val="21"/>
        </w:rPr>
        <w:t xml:space="preserve"> Create a Web Service on Render connected to GitHub. Set Root Directory to "server", Build Command to "npm install", and Start Command to "node server.js". Set environment variables: MONGO_URI, JWT_SECRET, JWT_REFRESH_SECRET, and CLIENT_URL.</w:t>
      </w:r>
    </w:p>
    <w:p>
      <w:pPr>
        <w:pStyle w:val="Heading1"/>
        <w:spacing w:after="180" w:before="400"/>
      </w:pPr>
      <w:r>
        <w:rPr>
          <w:rFonts w:ascii="Calibri" w:cs="Calibri" w:eastAsia="Calibri" w:hAnsi="Calibri"/>
          <w:b/>
          <w:bCs/>
          <w:color w:val="1E3A8A"/>
          <w:sz w:val="32"/>
          <w:szCs w:val="32"/>
        </w:rPr>
        <w:t xml:space="preserve">7. Student Project Defense &amp; Presentation Script</w:t>
      </w:r>
    </w:p>
    <w:p>
      <w:pPr>
        <w:spacing w:after="120" w:before="80" w:line="280"/>
      </w:pPr>
      <w:r>
        <w:rPr>
          <w:rFonts w:ascii="Calibri" w:cs="Calibri" w:eastAsia="Calibri" w:hAnsi="Calibri"/>
          <w:color w:val="334155"/>
          <w:sz w:val="22"/>
          <w:szCs w:val="22"/>
        </w:rPr>
        <w:t xml:space="preserve">This section is designed to help students, developers, or presenters explain and defend the project architecture to professors, technical interviewers, or executive clients.</w:t>
      </w:r>
    </w:p>
    <w:p>
      <w:pPr>
        <w:pStyle w:val="Heading2"/>
        <w:spacing w:after="120" w:before="280"/>
      </w:pPr>
      <w:r>
        <w:rPr>
          <w:rFonts w:ascii="Calibri" w:cs="Calibri" w:eastAsia="Calibri" w:hAnsi="Calibri"/>
          <w:b/>
          <w:bCs/>
          <w:color w:val="0F172A"/>
          <w:sz w:val="26"/>
          <w:szCs w:val="26"/>
        </w:rPr>
        <w:t xml:space="preserve">The 2-Minute Elevator Pitch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059669" w:sz="24"/>
              <w:bottom w:val="none"/>
              <w:right w:val="none"/>
            </w:tcBorders>
            <w:shd w:fill="ECFDF5" w:val="clear"/>
            <w:tcMar>
              <w:top w:type="dxa" w:w="160"/>
              <w:left w:type="dxa" w:w="240"/>
              <w:bottom w:type="dxa" w:w="160"/>
              <w:right w:type="dxa" w:w="240"/>
            </w:tcMar>
          </w:tcPr>
          <w:p>
            <w:pPr>
              <w:spacing w:after="60" w:before="0"/>
            </w:pPr>
            <w:r>
              <w:rPr>
                <w:rFonts w:ascii="Calibri" w:cs="Calibri" w:eastAsia="Calibri" w:hAnsi="Calibri"/>
                <w:b/>
                <w:bCs/>
                <w:color w:val="059669"/>
                <w:sz w:val="22"/>
                <w:szCs w:val="22"/>
              </w:rPr>
              <w:t xml:space="preserve">Presentation Pitch Script</w:t>
            </w:r>
          </w:p>
          <w:p>
            <w:pPr>
              <w:spacing w:after="0" w:before="0" w:line="260"/>
            </w:pPr>
            <w:r>
              <w:rPr>
                <w:rFonts w:ascii="Calibri" w:cs="Calibri" w:eastAsia="Calibri" w:hAnsi="Calibri"/>
                <w:color w:val="334155"/>
                <w:sz w:val="20"/>
                <w:szCs w:val="20"/>
              </w:rPr>
              <w:t xml:space="preserve">"NexusCRM is a full-stack, enterprise-grade B2B SaaS platform engineered using the MERN stack and React 18. Unlike academic prototype CRMs that only support basic CRUD forms, NexusCRM implements real-world enterprise patterns: strict multi-tenant boundary isolation, automated AI lead scoring, drag-and-drop Kanban revenue pipelines, quotation discount approvals with on-the-fly PDFKit document streaming, email marketing tracking pixels, an interactive in-app notification center, active session governance with remote revocation, and immutable audit logs. The application is backed by an automated 97-test suite across 12 test suites and deployed across distributed cloud infrastructure."</w:t>
            </w:r>
          </w:p>
        </w:tc>
      </w:tr>
    </w:tbl>
    <w:p>
      <w:pPr>
        <w:pStyle w:val="Heading2"/>
        <w:spacing w:after="120" w:before="280"/>
      </w:pPr>
      <w:r>
        <w:rPr>
          <w:rFonts w:ascii="Calibri" w:cs="Calibri" w:eastAsia="Calibri" w:hAnsi="Calibri"/>
          <w:b/>
          <w:bCs/>
          <w:color w:val="0F172A"/>
          <w:sz w:val="26"/>
          <w:szCs w:val="26"/>
        </w:rPr>
        <w:t xml:space="preserve">Top Defense Questions &amp; Technical Answers</w:t>
      </w:r>
    </w:p>
    <w:p>
      <w:pPr>
        <w:pStyle w:val="ListParagraph"/>
        <w:numPr>
          <w:ilvl w:val="0"/>
          <w:numId w:val="1"/>
        </w:numPr>
        <w:spacing w:after="60" w:before="60" w:line="260"/>
      </w:pPr>
      <w:r>
        <w:rPr>
          <w:rFonts w:ascii="Calibri" w:cs="Calibri" w:eastAsia="Calibri" w:hAnsi="Calibri"/>
          <w:b/>
          <w:bCs/>
          <w:color w:val="0F172A"/>
          <w:sz w:val="21"/>
          <w:szCs w:val="21"/>
        </w:rPr>
        <w:t xml:space="preserve">Q1: Why did you choose Multi-Tenant Architecture and how is isolation enforced?</w:t>
      </w:r>
      <w:r>
        <w:rPr>
          <w:rFonts w:ascii="Calibri" w:cs="Calibri" w:eastAsia="Calibri" w:hAnsi="Calibri"/>
          <w:color w:val="334155"/>
          <w:sz w:val="21"/>
          <w:szCs w:val="21"/>
        </w:rPr>
        <w:t xml:space="preserve"> "We implemented logical multi-tenancy at the data layer where every collection indexes a mandatory tenantId. By pairing this with authMiddleware and rbacMiddleware, tenant queries are automatically scoped in the service layer, preventing cross-tenant leakage while optimizing infrastructure costs compared to spinning up separate database instances per tenant."</w:t>
      </w:r>
    </w:p>
    <w:p>
      <w:pPr>
        <w:pStyle w:val="ListParagraph"/>
        <w:numPr>
          <w:ilvl w:val="0"/>
          <w:numId w:val="1"/>
        </w:numPr>
        <w:spacing w:after="60" w:before="60" w:line="260"/>
      </w:pPr>
      <w:r>
        <w:rPr>
          <w:rFonts w:ascii="Calibri" w:cs="Calibri" w:eastAsia="Calibri" w:hAnsi="Calibri"/>
          <w:b/>
          <w:bCs/>
          <w:color w:val="0F172A"/>
          <w:sz w:val="21"/>
          <w:szCs w:val="21"/>
        </w:rPr>
        <w:t xml:space="preserve">Q2: How does the dual-authentication and token rotation mechanism work?</w:t>
      </w:r>
      <w:r>
        <w:rPr>
          <w:rFonts w:ascii="Calibri" w:cs="Calibri" w:eastAsia="Calibri" w:hAnsi="Calibri"/>
          <w:color w:val="334155"/>
          <w:sz w:val="21"/>
          <w:szCs w:val="21"/>
        </w:rPr>
        <w:t xml:space="preserve"> "JWTs are issued as HttpOnly cookies with SameSite=None and Secure=True in production to prevent XSS exfiltration. In addition, our client Axios interceptor supports an Authorization Bearer token header fallback with automatic refresh token rotation, ensuring resilience on third-party cookie restricted browsers like Safari and Chrome incognito."</w:t>
      </w:r>
    </w:p>
    <w:p>
      <w:pPr>
        <w:pStyle w:val="ListParagraph"/>
        <w:numPr>
          <w:ilvl w:val="0"/>
          <w:numId w:val="1"/>
        </w:numPr>
        <w:spacing w:after="60" w:before="60" w:line="260"/>
      </w:pPr>
      <w:r>
        <w:rPr>
          <w:rFonts w:ascii="Calibri" w:cs="Calibri" w:eastAsia="Calibri" w:hAnsi="Calibri"/>
          <w:b/>
          <w:bCs/>
          <w:color w:val="0F172A"/>
          <w:sz w:val="21"/>
          <w:szCs w:val="21"/>
        </w:rPr>
        <w:t xml:space="preserve">Q3: Why MongoDB instead of PostgreSQL or MySQL?</w:t>
      </w:r>
      <w:r>
        <w:rPr>
          <w:rFonts w:ascii="Calibri" w:cs="Calibri" w:eastAsia="Calibri" w:hAnsi="Calibri"/>
          <w:color w:val="334155"/>
          <w:sz w:val="21"/>
          <w:szCs w:val="21"/>
        </w:rPr>
        <w:t xml:space="preserve"> "Rather than burdening the relational database with complex multi-table joins across activities, emails, and audit logs, MongoDB allows polymorphic entity references where tasks and logs dynamically associate with Leads, Contacts, or Deals. Furthermore, MongoDB aggregation pipelines allow us to compute full-funnel conversion rates and revenue forecasts in single sub-50ms database roundtrips."</w:t>
      </w:r>
    </w:p>
    <w:p>
      <w:pPr>
        <w:pStyle w:val="ListParagraph"/>
        <w:numPr>
          <w:ilvl w:val="0"/>
          <w:numId w:val="1"/>
        </w:numPr>
        <w:spacing w:after="60" w:before="60" w:line="260"/>
      </w:pPr>
      <w:r>
        <w:rPr>
          <w:rFonts w:ascii="Calibri" w:cs="Calibri" w:eastAsia="Calibri" w:hAnsi="Calibri"/>
          <w:b/>
          <w:bCs/>
          <w:color w:val="0F172A"/>
          <w:sz w:val="21"/>
          <w:szCs w:val="21"/>
        </w:rPr>
        <w:t xml:space="preserve">Q4: How does the background task and reminder queue handle zero-dependency environments?</w:t>
      </w:r>
      <w:r>
        <w:rPr>
          <w:rFonts w:ascii="Calibri" w:cs="Calibri" w:eastAsia="Calibri" w:hAnsi="Calibri"/>
          <w:color w:val="334155"/>
          <w:sz w:val="21"/>
          <w:szCs w:val="21"/>
        </w:rPr>
        <w:t xml:space="preserve"> "To prevent single points of failure in production, we built an adaptive worker abstraction. If Redis is configured, it utilizes BullMQ for distributed Redis queues; if Redis is absent or fails, the server transparently switches to an in-memory poller against MongoDB scheduled tasks, ensuring zero downtime and zero configuration headaches for clients."</w:t>
      </w:r>
    </w:p>
    <w:p>
      <w:pPr>
        <w:pStyle w:val="ListParagraph"/>
        <w:numPr>
          <w:ilvl w:val="0"/>
          <w:numId w:val="1"/>
        </w:numPr>
        <w:spacing w:after="60" w:before="60" w:line="260"/>
      </w:pPr>
      <w:r>
        <w:rPr>
          <w:rFonts w:ascii="Calibri" w:cs="Calibri" w:eastAsia="Calibri" w:hAnsi="Calibri"/>
          <w:b/>
          <w:bCs/>
          <w:color w:val="0F172A"/>
          <w:sz w:val="21"/>
          <w:szCs w:val="21"/>
        </w:rPr>
        <w:t xml:space="preserve">Q5: Why did you choose interval polling over WebSockets for in-app notifications?</w:t>
      </w:r>
      <w:r>
        <w:rPr>
          <w:rFonts w:ascii="Calibri" w:cs="Calibri" w:eastAsia="Calibri" w:hAnsi="Calibri"/>
          <w:color w:val="334155"/>
          <w:sz w:val="21"/>
          <w:szCs w:val="21"/>
        </w:rPr>
        <w:t xml:space="preserve"> "We evaluated WebSockets versus lightweight interval polling (30s) and chose polling for three architectural advantages: First, WebSockets maintain persistent stateful TCP sockets that require sticky sessions and Redis Pub/Sub adapters when horizontally scaling across serverless or containerized tiers (such as Render or AWS ECS). Second, notification checks are extremely lightweight, querying an indexed MongoDB count in sub-5ms. Third, polling is completely immune to socket drops caused by network switching, firewall timeouts, and laptop/mobile sleep modes."</w:t>
      </w:r>
    </w:p>
    <w:p>
      <w:pPr>
        <w:pStyle w:val="ListParagraph"/>
        <w:numPr>
          <w:ilvl w:val="0"/>
          <w:numId w:val="1"/>
        </w:numPr>
        <w:spacing w:after="60" w:before="60" w:line="260"/>
      </w:pPr>
      <w:r>
        <w:rPr>
          <w:rFonts w:ascii="Calibri" w:cs="Calibri" w:eastAsia="Calibri" w:hAnsi="Calibri"/>
          <w:b/>
          <w:bCs/>
          <w:color w:val="0F172A"/>
          <w:sz w:val="21"/>
          <w:szCs w:val="21"/>
        </w:rPr>
        <w:t xml:space="preserve">Q6: How does Active Session Governance prevent token hijacking and handle remote revocation?</w:t>
      </w:r>
      <w:r>
        <w:rPr>
          <w:rFonts w:ascii="Calibri" w:cs="Calibri" w:eastAsia="Calibri" w:hAnsi="Calibri"/>
          <w:color w:val="334155"/>
          <w:sz w:val="21"/>
          <w:szCs w:val="21"/>
        </w:rPr>
        <w:t xml:space="preserve"> "Every login creates a cryptographically hashed refresh token record in the Session collection alongside IP and User-Agent device fingerprints. When a user changes their password, revokes a specific device session, or triggers 'Revoke All Other Sessions', the corresponding session records are immediately invalidated in MongoDB. During token rotation, our auth service verifies the token against the active session table; any revoked token is immediately rejected with a 401 Unauthorized, eliminating session hijacking vulnerabilities."</w:t>
      </w:r>
    </w:p>
    <w:p>
      <w:pPr>
        <w:spacing w:after="200" w:before="6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059669" w:sz="24"/>
              <w:bottom w:val="none"/>
              <w:right w:val="none"/>
            </w:tcBorders>
            <w:shd w:fill="ECFDF5" w:val="clear"/>
            <w:tcMar>
              <w:top w:type="dxa" w:w="160"/>
              <w:left w:type="dxa" w:w="240"/>
              <w:bottom w:type="dxa" w:w="160"/>
              <w:right w:type="dxa" w:w="240"/>
            </w:tcMar>
          </w:tcPr>
          <w:p>
            <w:pPr>
              <w:spacing w:after="60" w:before="0"/>
            </w:pPr>
            <w:r>
              <w:rPr>
                <w:rFonts w:ascii="Calibri" w:cs="Calibri" w:eastAsia="Calibri" w:hAnsi="Calibri"/>
                <w:b/>
                <w:bCs/>
                <w:color w:val="059669"/>
                <w:sz w:val="22"/>
                <w:szCs w:val="22"/>
              </w:rPr>
              <w:t xml:space="preserve">Document Verification &amp; Sign-Off</w:t>
            </w:r>
          </w:p>
          <w:p>
            <w:pPr>
              <w:spacing w:after="0" w:before="0" w:line="260"/>
            </w:pPr>
            <w:r>
              <w:rPr>
                <w:rFonts w:ascii="Calibri" w:cs="Calibri" w:eastAsia="Calibri" w:hAnsi="Calibri"/>
                <w:color w:val="334155"/>
                <w:sz w:val="20"/>
                <w:szCs w:val="20"/>
              </w:rPr>
              <w:t xml:space="preserve">This technical documentation has been compiled and validated alongside the live NexusCRM codebase. All referenced endpoints, schemas, seed records, and test suites are verified and ready for demonstration.</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4748B"/>
        <w:sz w:val="16"/>
        <w:szCs w:val="16"/>
      </w:rPr>
      <w:t xml:space="preserve">Page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of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6"/>
        <w:szCs w:val="16"/>
      </w:rPr>
      <w:t xml:space="preserve">NEXUS CRM | Enterprise Platform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2026-10-03T07:14:07.593Z</dcterms:created>
  <dcterms:modified xsi:type="dcterms:W3CDTF">2026-10-03T07:14:07.594Z</dcterms:modified>
</cp:coreProperties>
</file>

<file path=docProps/custom.xml><?xml version="1.0" encoding="utf-8"?>
<Properties xmlns="http://schemas.openxmlformats.org/officeDocument/2006/custom-properties" xmlns:vt="http://schemas.openxmlformats.org/officeDocument/2006/docPropsVTypes"/>
</file>