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C2BD9"/>
          <w:sz w:val="56"/>
          <w:szCs w:val="56"/>
        </w:rPr>
        <w:t xml:space="preserve">BLINDTEST APP</w:t>
      </w:r>
    </w:p>
    <w:p>
      <w:pPr>
        <w:spacing w:after="40"/>
      </w:pPr>
      <w:r>
        <w:rPr>
          <w:color w:val="666666"/>
          <w:sz w:val="26"/>
          <w:szCs w:val="26"/>
        </w:rPr>
        <w:t xml:space="preserve">Blueprint de projet — de l'idée au prototype</w:t>
      </w:r>
    </w:p>
    <w:p>
      <w:pPr>
        <w:spacing w:after="400"/>
      </w:pPr>
      <w:r>
        <w:rPr>
          <w:i/>
          <w:iCs/>
          <w:color w:val="666666"/>
          <w:sz w:val="21"/>
          <w:szCs w:val="21"/>
        </w:rPr>
        <w:t xml:space="preserve">Concept, architecture, stack technique, structure Git, direction artistique, roadmap et business plan</w:t>
      </w:r>
    </w:p>
    <w:p>
      <w:pPr>
        <w:spacing w:after="40"/>
      </w:pPr>
      <w:r>
        <w:rPr>
          <w:color w:val="666666"/>
          <w:sz w:val="19"/>
          <w:szCs w:val="19"/>
        </w:rPr>
        <w:t xml:space="preserve">Préparé pour Neil — 22 juillet 2026</w:t>
      </w:r>
    </w:p>
    <w:p>
      <w:pPr>
        <w:pStyle w:val="Heading1"/>
        <w:pBdr>
          <w:bottom w:val="single" w:color="6C2BD9" w:sz="12" w:space="4"/>
        </w:pBdr>
        <w:spacing w:after="160" w:before="360"/>
      </w:pPr>
      <w:r>
        <w:rPr>
          <w:b/>
          <w:bCs/>
          <w:color w:val="6C2BD9"/>
          <w:sz w:val="30"/>
          <w:szCs w:val="30"/>
        </w:rPr>
        <w:t xml:space="preserve">1. Concept &amp; vision</w:t>
      </w:r>
    </w:p>
    <w:p>
      <w:pPr>
        <w:spacing w:after="160"/>
      </w:pPr>
      <w:r>
        <w:rPr>
          <w:sz w:val="21"/>
          <w:szCs w:val="21"/>
        </w:rPr>
        <w:t xml:space="preserve">L'idée : une application qui transforme les smartphones des participants en buzzers, pour organiser un blind test entre potes sans qu'une personne ait besoin de gérer la playlist manuellement. Le manque identifié dans les blind tests improvisés — l'absence de buzzer physique et la contrainte d'avoir quelqu'un dédié au changement des sons — est le problème central que l'appli résout.</w:t>
      </w:r>
    </w:p>
    <w:p>
      <w:pPr>
        <w:spacing w:after="160"/>
      </w:pPr>
      <w:r>
        <w:rPr>
          <w:b/>
          <w:bCs/>
          <w:sz w:val="21"/>
          <w:szCs w:val="21"/>
        </w:rPr>
        <w:t xml:space="preserve">Modes de jeu envisagés : </w:t>
      </w:r>
      <w:r>
        <w:rPr>
          <w:sz w:val="21"/>
          <w:szCs w:val="21"/>
        </w:rPr>
        <w:t xml:space="preserve">solo, par équipe, par thème, playlists personnalisées, playlists générées par IA, playlists complètement aléatoires.</w:t>
      </w:r>
    </w:p>
    <w:p>
      <w:pPr>
        <w:spacing w:after="160"/>
      </w:pPr>
      <w:r>
        <w:rPr>
          <w:b/>
          <w:bCs/>
          <w:sz w:val="21"/>
          <w:szCs w:val="21"/>
        </w:rPr>
        <w:t xml:space="preserve">Mécanique centrale : </w:t>
      </w:r>
      <w:r>
        <w:rPr>
          <w:sz w:val="21"/>
          <w:szCs w:val="21"/>
        </w:rPr>
        <w:t xml:space="preserve">un écran "hôte" (mobile ou projeté façon Kahoot) affiche la partie et diffuse le son, pendant que chaque joueur utilise son téléphone comme buzzer.</w:t>
      </w:r>
    </w:p>
    <w:p>
      <w:pPr>
        <w:spacing w:after="160"/>
      </w:pPr>
      <w:r>
        <w:rPr>
          <w:b/>
          <w:bCs/>
          <w:sz w:val="21"/>
          <w:szCs w:val="21"/>
        </w:rPr>
        <w:t xml:space="preserve">Réponse au buzz — deux modes prévus dès le MVP : </w:t>
      </w:r>
      <w:r>
        <w:rPr>
          <w:sz w:val="21"/>
          <w:szCs w:val="21"/>
        </w:rPr>
        <w:t xml:space="preserve">réponse donnée à l'oral puis affichée à l'écran pour un scoring manuel entre potes, OU reconnaissance vocale automatique qui valide la réponse.</w:t>
      </w:r>
    </w:p>
    <w:p>
      <w:pPr>
        <w:pStyle w:val="Heading1"/>
        <w:pBdr>
          <w:bottom w:val="single" w:color="6C2BD9" w:sz="12" w:space="4"/>
        </w:pBdr>
        <w:spacing w:after="160" w:before="360"/>
      </w:pPr>
      <w:r>
        <w:rPr>
          <w:b/>
          <w:bCs/>
          <w:color w:val="6C2BD9"/>
          <w:sz w:val="30"/>
          <w:szCs w:val="30"/>
        </w:rPr>
        <w:t xml:space="preserve">2. Architecture générale</w:t>
      </w:r>
    </w:p>
    <w:p>
      <w:pPr>
        <w:spacing w:after="160"/>
      </w:pPr>
      <w:r>
        <w:rPr>
          <w:sz w:val="21"/>
          <w:szCs w:val="21"/>
        </w:rPr>
        <w:t xml:space="preserve">Le modèle retenu s'inspire de Kahoot / Jackbox : un appareil "hôte" affiche l'état du jeu et joue l'audio, les appareils "joueurs" ne servent qu'à buzzer et (en option) écouter la réponse orale.</w:t>
      </w:r>
    </w:p>
    <w:p>
      <w:pPr>
        <w:pStyle w:val="ListParagraph"/>
        <w:numPr>
          <w:ilvl w:val="0"/>
          <w:numId w:val="2"/>
        </w:numPr>
        <w:spacing w:after="100"/>
      </w:pPr>
      <w:r>
        <w:rPr>
          <w:sz w:val="21"/>
          <w:szCs w:val="21"/>
        </w:rPr>
        <w:t xml:space="preserve">Hôte : affiche les questions, gère la lecture audio, affiche le classement en direct — peut être un mobile ou un écran/TV via une page web projetée.</w:t>
      </w:r>
    </w:p>
    <w:p>
      <w:pPr>
        <w:pStyle w:val="ListParagraph"/>
        <w:numPr>
          <w:ilvl w:val="0"/>
          <w:numId w:val="2"/>
        </w:numPr>
        <w:spacing w:after="100"/>
      </w:pPr>
      <w:r>
        <w:rPr>
          <w:sz w:val="21"/>
          <w:szCs w:val="21"/>
        </w:rPr>
        <w:t xml:space="preserve">Joueurs : appli mobile légère servant de buzzer + micro, connectée à la session hôte via un code de partie (room code).</w:t>
      </w:r>
    </w:p>
    <w:p>
      <w:pPr>
        <w:pStyle w:val="ListParagraph"/>
        <w:numPr>
          <w:ilvl w:val="0"/>
          <w:numId w:val="2"/>
        </w:numPr>
        <w:spacing w:after="100"/>
      </w:pPr>
      <w:r>
        <w:rPr>
          <w:sz w:val="21"/>
          <w:szCs w:val="21"/>
        </w:rPr>
        <w:t xml:space="preserve">Un serveur temps réel relaie les buzz et synchronise l'état de la partie entre tous les appareils, avec horodatage serveur pour départager les buzz quasi simultanés (ne jamais faire confiance à l'horloge du téléphone du joueur).</w:t>
      </w:r>
    </w:p>
    <w:p>
      <w:pPr>
        <w:spacing w:after="160"/>
      </w:pPr>
      <w:r>
        <w:rPr>
          <w:b/>
          <w:bCs/>
          <w:sz w:val="21"/>
          <w:szCs w:val="21"/>
        </w:rPr>
        <w:t xml:space="preserve">Point clé côté musique : </w:t>
      </w:r>
      <w:r>
        <w:rPr>
          <w:sz w:val="21"/>
          <w:szCs w:val="21"/>
        </w:rPr>
        <w:t xml:space="preserve">seul l'appareil hôte a besoin d'un compte Spotify Premium pour lire les extraits — exactement comme dans un vrai blind test où une seule personne branche l'enceinte. Cela lève la plus grosse contrainte technique (voir section 4).</w:t>
      </w:r>
    </w:p>
    <w:p>
      <w:pPr>
        <w:pStyle w:val="Heading1"/>
        <w:pBdr>
          <w:bottom w:val="single" w:color="6C2BD9" w:sz="12" w:space="4"/>
        </w:pBdr>
        <w:spacing w:after="160" w:before="360"/>
      </w:pPr>
      <w:r>
        <w:rPr>
          <w:b/>
          <w:bCs/>
          <w:color w:val="6C2BD9"/>
          <w:sz w:val="30"/>
          <w:szCs w:val="30"/>
        </w:rPr>
        <w:t xml:space="preserve">3. Stack technique recommandée</w:t>
      </w:r>
    </w:p>
    <w:p>
      <w:pPr>
        <w:spacing w:after="160"/>
      </w:pPr>
      <w:r>
        <w:rPr>
          <w:sz w:val="21"/>
          <w:szCs w:val="21"/>
        </w:rPr>
        <w:t xml:space="preserve">Recommandations pensées pour un profil "SQL pro / Python débutant" qui délègue l'essentiel du code : stack simple à opérer, base de données en Postgres pur pour que tes compétences SQL s'appliquent directement.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900"/>
      </w:tblGrid>
      <w:tr>
        <w:tc>
          <w:tcPr>
            <w:tcW w:type="dxa" w:w="2200"/>
            <w:shd w:fill="2A1B4D" w:val="clear"/>
            <w:tcMar>
              <w:top w:type="dxa" w:w="100"/>
              <w:left w:type="dxa" w:w="120"/>
              <w:bottom w:type="dxa" w:w="100"/>
              <w:right w:type="dxa" w:w="120"/>
            </w:tcMar>
          </w:tcPr>
          <w:p>
            <w:r>
              <w:rPr>
                <w:b/>
                <w:bCs/>
                <w:color w:val="FFFFFF"/>
                <w:sz w:val="19"/>
                <w:szCs w:val="19"/>
              </w:rPr>
              <w:t xml:space="preserve">Brique</w:t>
            </w:r>
          </w:p>
        </w:tc>
        <w:tc>
          <w:tcPr>
            <w:tcW w:type="dxa" w:w="3300"/>
            <w:shd w:fill="2A1B4D" w:val="clear"/>
            <w:tcMar>
              <w:top w:type="dxa" w:w="100"/>
              <w:left w:type="dxa" w:w="120"/>
              <w:bottom w:type="dxa" w:w="100"/>
              <w:right w:type="dxa" w:w="120"/>
            </w:tcMar>
          </w:tcPr>
          <w:p>
            <w:r>
              <w:rPr>
                <w:b/>
                <w:bCs/>
                <w:color w:val="FFFFFF"/>
                <w:sz w:val="19"/>
                <w:szCs w:val="19"/>
              </w:rPr>
              <w:t xml:space="preserve">Choix recommandé</w:t>
            </w:r>
          </w:p>
        </w:tc>
        <w:tc>
          <w:tcPr>
            <w:tcW w:type="dxa" w:w="3900"/>
            <w:shd w:fill="2A1B4D" w:val="clear"/>
            <w:tcMar>
              <w:top w:type="dxa" w:w="100"/>
              <w:left w:type="dxa" w:w="120"/>
              <w:bottom w:type="dxa" w:w="100"/>
              <w:right w:type="dxa" w:w="120"/>
            </w:tcMar>
          </w:tcPr>
          <w:p>
            <w:r>
              <w:rPr>
                <w:b/>
                <w:bCs/>
                <w:color w:val="FFFFFF"/>
                <w:sz w:val="19"/>
                <w:szCs w:val="19"/>
              </w:rPr>
              <w:t xml:space="preserve">Pourquoi</w:t>
            </w:r>
          </w:p>
        </w:tc>
      </w:tr>
      <w:tr>
        <w:tc>
          <w:tcPr>
            <w:tcW w:type="dxa" w:w="2200"/>
            <w:tcMar>
              <w:top w:type="dxa" w:w="100"/>
              <w:left w:type="dxa" w:w="120"/>
              <w:bottom w:type="dxa" w:w="100"/>
              <w:right w:type="dxa" w:w="120"/>
            </w:tcMar>
          </w:tcPr>
          <w:p>
            <w:r>
              <w:rPr>
                <w:b w:val="false"/>
                <w:bCs w:val="false"/>
                <w:color w:val="000000"/>
                <w:sz w:val="19"/>
                <w:szCs w:val="19"/>
              </w:rPr>
              <w:t xml:space="preserve">Appli mobile (joueurs + hôte nomade)</w:t>
            </w:r>
          </w:p>
        </w:tc>
        <w:tc>
          <w:tcPr>
            <w:tcW w:type="dxa" w:w="3300"/>
            <w:tcMar>
              <w:top w:type="dxa" w:w="100"/>
              <w:left w:type="dxa" w:w="120"/>
              <w:bottom w:type="dxa" w:w="100"/>
              <w:right w:type="dxa" w:w="120"/>
            </w:tcMar>
          </w:tcPr>
          <w:p>
            <w:r>
              <w:rPr>
                <w:b w:val="false"/>
                <w:bCs w:val="false"/>
                <w:color w:val="000000"/>
                <w:sz w:val="19"/>
                <w:szCs w:val="19"/>
              </w:rPr>
              <w:t xml:space="preserve">React Native (Expo)</w:t>
            </w:r>
          </w:p>
        </w:tc>
        <w:tc>
          <w:tcPr>
            <w:tcW w:type="dxa" w:w="3900"/>
            <w:tcMar>
              <w:top w:type="dxa" w:w="100"/>
              <w:left w:type="dxa" w:w="120"/>
              <w:bottom w:type="dxa" w:w="100"/>
              <w:right w:type="dxa" w:w="120"/>
            </w:tcMar>
          </w:tcPr>
          <w:p>
            <w:r>
              <w:rPr>
                <w:b w:val="false"/>
                <w:bCs w:val="false"/>
                <w:color w:val="000000"/>
                <w:sz w:val="19"/>
                <w:szCs w:val="19"/>
              </w:rPr>
              <w:t xml:space="preserve">Un seul code pour iOS et Android, itération rapide, mises à jour à distance (OTA) sans repasser par les stores à chaque fois.</w:t>
            </w:r>
          </w:p>
        </w:tc>
      </w:tr>
      <w:tr>
        <w:tc>
          <w:tcPr>
            <w:tcW w:type="dxa" w:w="2200"/>
            <w:tcMar>
              <w:top w:type="dxa" w:w="100"/>
              <w:left w:type="dxa" w:w="120"/>
              <w:bottom w:type="dxa" w:w="100"/>
              <w:right w:type="dxa" w:w="120"/>
            </w:tcMar>
          </w:tcPr>
          <w:p>
            <w:r>
              <w:rPr>
                <w:b w:val="false"/>
                <w:bCs w:val="false"/>
                <w:color w:val="000000"/>
                <w:sz w:val="19"/>
                <w:szCs w:val="19"/>
              </w:rPr>
              <w:t xml:space="preserve">Écran hôte / "TV" projeté</w:t>
            </w:r>
          </w:p>
        </w:tc>
        <w:tc>
          <w:tcPr>
            <w:tcW w:type="dxa" w:w="3300"/>
            <w:tcMar>
              <w:top w:type="dxa" w:w="100"/>
              <w:left w:type="dxa" w:w="120"/>
              <w:bottom w:type="dxa" w:w="100"/>
              <w:right w:type="dxa" w:w="120"/>
            </w:tcMar>
          </w:tcPr>
          <w:p>
            <w:r>
              <w:rPr>
                <w:b w:val="false"/>
                <w:bCs w:val="false"/>
                <w:color w:val="000000"/>
                <w:sz w:val="19"/>
                <w:szCs w:val="19"/>
              </w:rPr>
              <w:t xml:space="preserve">Next.js (React, web)</w:t>
            </w:r>
          </w:p>
        </w:tc>
        <w:tc>
          <w:tcPr>
            <w:tcW w:type="dxa" w:w="3900"/>
            <w:tcMar>
              <w:top w:type="dxa" w:w="100"/>
              <w:left w:type="dxa" w:w="120"/>
              <w:bottom w:type="dxa" w:w="100"/>
              <w:right w:type="dxa" w:w="120"/>
            </w:tcMar>
          </w:tcPr>
          <w:p>
            <w:r>
              <w:rPr>
                <w:b w:val="false"/>
                <w:bCs w:val="false"/>
                <w:color w:val="000000"/>
                <w:sz w:val="19"/>
                <w:szCs w:val="19"/>
              </w:rPr>
              <w:t xml:space="preserve">Tourne dans un simple navigateur sur un laptop branché à une TV ; permet d'utiliser le Spotify Web Playback SDK pour la lecture audio.</w:t>
            </w:r>
          </w:p>
        </w:tc>
      </w:tr>
      <w:tr>
        <w:tc>
          <w:tcPr>
            <w:tcW w:type="dxa" w:w="2200"/>
            <w:tcMar>
              <w:top w:type="dxa" w:w="100"/>
              <w:left w:type="dxa" w:w="120"/>
              <w:bottom w:type="dxa" w:w="100"/>
              <w:right w:type="dxa" w:w="120"/>
            </w:tcMar>
          </w:tcPr>
          <w:p>
            <w:r>
              <w:rPr>
                <w:b w:val="false"/>
                <w:bCs w:val="false"/>
                <w:color w:val="000000"/>
                <w:sz w:val="19"/>
                <w:szCs w:val="19"/>
              </w:rPr>
              <w:t xml:space="preserve">Backend + temps réel</w:t>
            </w:r>
          </w:p>
        </w:tc>
        <w:tc>
          <w:tcPr>
            <w:tcW w:type="dxa" w:w="3300"/>
            <w:tcMar>
              <w:top w:type="dxa" w:w="100"/>
              <w:left w:type="dxa" w:w="120"/>
              <w:bottom w:type="dxa" w:w="100"/>
              <w:right w:type="dxa" w:w="120"/>
            </w:tcMar>
          </w:tcPr>
          <w:p>
            <w:r>
              <w:rPr>
                <w:b w:val="false"/>
                <w:bCs w:val="false"/>
                <w:color w:val="000000"/>
                <w:sz w:val="19"/>
                <w:szCs w:val="19"/>
              </w:rPr>
              <w:t xml:space="preserve">Supabase (Postgres + Realtime + Edge Functions)</w:t>
            </w:r>
          </w:p>
        </w:tc>
        <w:tc>
          <w:tcPr>
            <w:tcW w:type="dxa" w:w="3900"/>
            <w:tcMar>
              <w:top w:type="dxa" w:w="100"/>
              <w:left w:type="dxa" w:w="120"/>
              <w:bottom w:type="dxa" w:w="100"/>
              <w:right w:type="dxa" w:w="120"/>
            </w:tcMar>
          </w:tcPr>
          <w:p>
            <w:r>
              <w:rPr>
                <w:b w:val="false"/>
                <w:bCs w:val="false"/>
                <w:color w:val="000000"/>
                <w:sz w:val="19"/>
                <w:szCs w:val="19"/>
              </w:rPr>
              <w:t xml:space="preserve">Base en Postgres standard (tes requêtes SQL s'appliquent telles quelles) ; les canaux "Realtime Broadcast" évitent de construire un serveur WebSocket maison pour les buzz.</w:t>
            </w:r>
          </w:p>
        </w:tc>
      </w:tr>
      <w:tr>
        <w:tc>
          <w:tcPr>
            <w:tcW w:type="dxa" w:w="2200"/>
            <w:tcMar>
              <w:top w:type="dxa" w:w="100"/>
              <w:left w:type="dxa" w:w="120"/>
              <w:bottom w:type="dxa" w:w="100"/>
              <w:right w:type="dxa" w:w="120"/>
            </w:tcMar>
          </w:tcPr>
          <w:p>
            <w:r>
              <w:rPr>
                <w:b w:val="false"/>
                <w:bCs w:val="false"/>
                <w:color w:val="000000"/>
                <w:sz w:val="19"/>
                <w:szCs w:val="19"/>
              </w:rPr>
              <w:t xml:space="preserve">Authentification</w:t>
            </w:r>
          </w:p>
        </w:tc>
        <w:tc>
          <w:tcPr>
            <w:tcW w:type="dxa" w:w="3300"/>
            <w:tcMar>
              <w:top w:type="dxa" w:w="100"/>
              <w:left w:type="dxa" w:w="120"/>
              <w:bottom w:type="dxa" w:w="100"/>
              <w:right w:type="dxa" w:w="120"/>
            </w:tcMar>
          </w:tcPr>
          <w:p>
            <w:r>
              <w:rPr>
                <w:b w:val="false"/>
                <w:bCs w:val="false"/>
                <w:color w:val="000000"/>
                <w:sz w:val="19"/>
                <w:szCs w:val="19"/>
              </w:rPr>
              <w:t xml:space="preserve">Supabase Auth</w:t>
            </w:r>
          </w:p>
        </w:tc>
        <w:tc>
          <w:tcPr>
            <w:tcW w:type="dxa" w:w="3900"/>
            <w:tcMar>
              <w:top w:type="dxa" w:w="100"/>
              <w:left w:type="dxa" w:w="120"/>
              <w:bottom w:type="dxa" w:w="100"/>
              <w:right w:type="dxa" w:w="120"/>
            </w:tcMar>
          </w:tcPr>
          <w:p>
            <w:r>
              <w:rPr>
                <w:b w:val="false"/>
                <w:bCs w:val="false"/>
                <w:color w:val="000000"/>
                <w:sz w:val="19"/>
                <w:szCs w:val="19"/>
              </w:rPr>
              <w:t xml:space="preserve">Comptes hôtes (email ou OAuth Spotify), gratuit jusqu'à un seuil confortable pour un usage entre potes.</w:t>
            </w:r>
          </w:p>
        </w:tc>
      </w:tr>
      <w:tr>
        <w:tc>
          <w:tcPr>
            <w:tcW w:type="dxa" w:w="2200"/>
            <w:tcMar>
              <w:top w:type="dxa" w:w="100"/>
              <w:left w:type="dxa" w:w="120"/>
              <w:bottom w:type="dxa" w:w="100"/>
              <w:right w:type="dxa" w:w="120"/>
            </w:tcMar>
          </w:tcPr>
          <w:p>
            <w:r>
              <w:rPr>
                <w:b w:val="false"/>
                <w:bCs w:val="false"/>
                <w:color w:val="000000"/>
                <w:sz w:val="19"/>
                <w:szCs w:val="19"/>
              </w:rPr>
              <w:t xml:space="preserve">Reconnaissance vocale</w:t>
            </w:r>
          </w:p>
        </w:tc>
        <w:tc>
          <w:tcPr>
            <w:tcW w:type="dxa" w:w="3300"/>
            <w:tcMar>
              <w:top w:type="dxa" w:w="100"/>
              <w:left w:type="dxa" w:w="120"/>
              <w:bottom w:type="dxa" w:w="100"/>
              <w:right w:type="dxa" w:w="120"/>
            </w:tcMar>
          </w:tcPr>
          <w:p>
            <w:r>
              <w:rPr>
                <w:b w:val="false"/>
                <w:bCs w:val="false"/>
                <w:color w:val="000000"/>
                <w:sz w:val="19"/>
                <w:szCs w:val="19"/>
              </w:rPr>
              <w:t xml:space="preserve">Moteur natif du téléphone (Speech framework iOS / SpeechRecognizer Android via Expo)</w:t>
            </w:r>
          </w:p>
        </w:tc>
        <w:tc>
          <w:tcPr>
            <w:tcW w:type="dxa" w:w="3900"/>
            <w:tcMar>
              <w:top w:type="dxa" w:w="100"/>
              <w:left w:type="dxa" w:w="120"/>
              <w:bottom w:type="dxa" w:w="100"/>
              <w:right w:type="dxa" w:w="120"/>
            </w:tcMar>
          </w:tcPr>
          <w:p>
            <w:r>
              <w:rPr>
                <w:b w:val="false"/>
                <w:bCs w:val="false"/>
                <w:color w:val="000000"/>
                <w:sz w:val="19"/>
                <w:szCs w:val="19"/>
              </w:rPr>
              <w:t xml:space="preserve">Gratuit, fonctionne hors-ligne, faible latence ; la réponse transcrite est comparée à la bonne réponse par similarité floue (distance de Levenshtein).</w:t>
            </w:r>
          </w:p>
        </w:tc>
      </w:tr>
      <w:tr>
        <w:tc>
          <w:tcPr>
            <w:tcW w:type="dxa" w:w="2200"/>
            <w:tcMar>
              <w:top w:type="dxa" w:w="100"/>
              <w:left w:type="dxa" w:w="120"/>
              <w:bottom w:type="dxa" w:w="100"/>
              <w:right w:type="dxa" w:w="120"/>
            </w:tcMar>
          </w:tcPr>
          <w:p>
            <w:r>
              <w:rPr>
                <w:b w:val="false"/>
                <w:bCs w:val="false"/>
                <w:color w:val="000000"/>
                <w:sz w:val="19"/>
                <w:szCs w:val="19"/>
              </w:rPr>
              <w:t xml:space="preserve">Génération de playlists IA</w:t>
            </w:r>
          </w:p>
        </w:tc>
        <w:tc>
          <w:tcPr>
            <w:tcW w:type="dxa" w:w="3300"/>
            <w:tcMar>
              <w:top w:type="dxa" w:w="100"/>
              <w:left w:type="dxa" w:w="120"/>
              <w:bottom w:type="dxa" w:w="100"/>
              <w:right w:type="dxa" w:w="120"/>
            </w:tcMar>
          </w:tcPr>
          <w:p>
            <w:r>
              <w:rPr>
                <w:b w:val="false"/>
                <w:bCs w:val="false"/>
                <w:color w:val="000000"/>
                <w:sz w:val="19"/>
                <w:szCs w:val="19"/>
              </w:rPr>
              <w:t xml:space="preserve">Edge Function + API Claude + recherche Spotify</w:t>
            </w:r>
          </w:p>
        </w:tc>
        <w:tc>
          <w:tcPr>
            <w:tcW w:type="dxa" w:w="3900"/>
            <w:tcMar>
              <w:top w:type="dxa" w:w="100"/>
              <w:left w:type="dxa" w:w="120"/>
              <w:bottom w:type="dxa" w:w="100"/>
              <w:right w:type="dxa" w:w="120"/>
            </w:tcMar>
          </w:tcPr>
          <w:p>
            <w:r>
              <w:rPr>
                <w:b w:val="false"/>
                <w:bCs w:val="false"/>
                <w:color w:val="000000"/>
                <w:sz w:val="19"/>
                <w:szCs w:val="19"/>
              </w:rPr>
              <w:t xml:space="preserve">Un thème libre donné par l'utilisateur est transformé en liste de titres, puis chaque titre est retrouvé sur Spotify via l'API de recherche.</w:t>
            </w:r>
          </w:p>
        </w:tc>
      </w:tr>
      <w:tr>
        <w:tc>
          <w:tcPr>
            <w:tcW w:type="dxa" w:w="2200"/>
            <w:tcMar>
              <w:top w:type="dxa" w:w="100"/>
              <w:left w:type="dxa" w:w="120"/>
              <w:bottom w:type="dxa" w:w="100"/>
              <w:right w:type="dxa" w:w="120"/>
            </w:tcMar>
          </w:tcPr>
          <w:p>
            <w:r>
              <w:rPr>
                <w:b w:val="false"/>
                <w:bCs w:val="false"/>
                <w:color w:val="000000"/>
                <w:sz w:val="19"/>
                <w:szCs w:val="19"/>
              </w:rPr>
              <w:t xml:space="preserve">Hébergement</w:t>
            </w:r>
          </w:p>
        </w:tc>
        <w:tc>
          <w:tcPr>
            <w:tcW w:type="dxa" w:w="3300"/>
            <w:tcMar>
              <w:top w:type="dxa" w:w="100"/>
              <w:left w:type="dxa" w:w="120"/>
              <w:bottom w:type="dxa" w:w="100"/>
              <w:right w:type="dxa" w:w="120"/>
            </w:tcMar>
          </w:tcPr>
          <w:p>
            <w:r>
              <w:rPr>
                <w:b w:val="false"/>
                <w:bCs w:val="false"/>
                <w:color w:val="000000"/>
                <w:sz w:val="19"/>
                <w:szCs w:val="19"/>
              </w:rPr>
              <w:t xml:space="preserve">Supabase Cloud + Vercel (web) + Expo EAS (mobile)</w:t>
            </w:r>
          </w:p>
        </w:tc>
        <w:tc>
          <w:tcPr>
            <w:tcW w:type="dxa" w:w="3900"/>
            <w:tcMar>
              <w:top w:type="dxa" w:w="100"/>
              <w:left w:type="dxa" w:w="120"/>
              <w:bottom w:type="dxa" w:w="100"/>
              <w:right w:type="dxa" w:w="120"/>
            </w:tcMar>
          </w:tcPr>
          <w:p>
            <w:r>
              <w:rPr>
                <w:b w:val="false"/>
                <w:bCs w:val="false"/>
                <w:color w:val="000000"/>
                <w:sz w:val="19"/>
                <w:szCs w:val="19"/>
              </w:rPr>
              <w:t xml:space="preserve">Offres gratuites suffisantes pour démarrer et tester entre amis.</w:t>
            </w:r>
          </w:p>
        </w:tc>
      </w:tr>
    </w:tbl>
    <w:p>
      <w:pPr>
        <w:pStyle w:val="Heading1"/>
        <w:pBdr>
          <w:bottom w:val="single" w:color="6C2BD9" w:sz="12" w:space="4"/>
        </w:pBdr>
        <w:spacing w:after="160" w:before="360"/>
      </w:pPr>
      <w:r>
        <w:rPr>
          <w:b/>
          <w:bCs/>
          <w:color w:val="6C2BD9"/>
          <w:sz w:val="30"/>
          <w:szCs w:val="30"/>
        </w:rPr>
        <w:t xml:space="preserve">4. Intégrations musicales : ce que disent les CGU en 2026</w:t>
      </w:r>
    </w:p>
    <w:p>
      <w:pPr>
        <w:spacing w:after="160"/>
      </w:pPr>
      <w:r>
        <w:rPr>
          <w:sz w:val="21"/>
          <w:szCs w:val="21"/>
        </w:rPr>
        <w:t xml:space="preserve">Point vérifié spécifiquement car ces API changent vite et conditionnent la faisabilité du concept.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100"/>
      </w:tblGrid>
      <w:tr>
        <w:tc>
          <w:tcPr>
            <w:tcW w:type="dxa" w:w="1400"/>
            <w:shd w:fill="2A1B4D" w:val="clear"/>
            <w:tcMar>
              <w:top w:type="dxa" w:w="100"/>
              <w:left w:type="dxa" w:w="120"/>
              <w:bottom w:type="dxa" w:w="100"/>
              <w:right w:type="dxa" w:w="120"/>
            </w:tcMar>
          </w:tcPr>
          <w:p>
            <w:r>
              <w:rPr>
                <w:b/>
                <w:bCs/>
                <w:color w:val="FFFFFF"/>
                <w:sz w:val="19"/>
                <w:szCs w:val="19"/>
              </w:rPr>
              <w:t xml:space="preserve">Plateforme</w:t>
            </w:r>
          </w:p>
        </w:tc>
        <w:tc>
          <w:tcPr>
            <w:tcW w:type="dxa" w:w="2900"/>
            <w:shd w:fill="2A1B4D" w:val="clear"/>
            <w:tcMar>
              <w:top w:type="dxa" w:w="100"/>
              <w:left w:type="dxa" w:w="120"/>
              <w:bottom w:type="dxa" w:w="100"/>
              <w:right w:type="dxa" w:w="120"/>
            </w:tcMar>
          </w:tcPr>
          <w:p>
            <w:r>
              <w:rPr>
                <w:b/>
                <w:bCs/>
                <w:color w:val="FFFFFF"/>
                <w:sz w:val="19"/>
                <w:szCs w:val="19"/>
              </w:rPr>
              <w:t xml:space="preserve">Contrainte principale (2024-2026)</w:t>
            </w:r>
          </w:p>
        </w:tc>
        <w:tc>
          <w:tcPr>
            <w:tcW w:type="dxa" w:w="3100"/>
            <w:shd w:fill="2A1B4D" w:val="clear"/>
            <w:tcMar>
              <w:top w:type="dxa" w:w="100"/>
              <w:left w:type="dxa" w:w="120"/>
              <w:bottom w:type="dxa" w:w="100"/>
              <w:right w:type="dxa" w:w="120"/>
            </w:tcMar>
          </w:tcPr>
          <w:p>
            <w:r>
              <w:rPr>
                <w:b/>
                <w:bCs/>
                <w:color w:val="FFFFFF"/>
                <w:sz w:val="19"/>
                <w:szCs w:val="19"/>
              </w:rPr>
              <w:t xml:space="preserve">Recommandation</w:t>
            </w:r>
          </w:p>
        </w:tc>
      </w:tr>
      <w:tr>
        <w:tc>
          <w:tcPr>
            <w:tcW w:type="dxa" w:w="1400"/>
            <w:tcMar>
              <w:top w:type="dxa" w:w="100"/>
              <w:left w:type="dxa" w:w="120"/>
              <w:bottom w:type="dxa" w:w="100"/>
              <w:right w:type="dxa" w:w="120"/>
            </w:tcMar>
          </w:tcPr>
          <w:p>
            <w:r>
              <w:rPr>
                <w:b w:val="false"/>
                <w:bCs w:val="false"/>
                <w:color w:val="000000"/>
                <w:sz w:val="19"/>
                <w:szCs w:val="19"/>
              </w:rPr>
              <w:t xml:space="preserve">Spotify</w:t>
            </w:r>
          </w:p>
        </w:tc>
        <w:tc>
          <w:tcPr>
            <w:tcW w:type="dxa" w:w="2900"/>
            <w:tcMar>
              <w:top w:type="dxa" w:w="100"/>
              <w:left w:type="dxa" w:w="120"/>
              <w:bottom w:type="dxa" w:w="100"/>
              <w:right w:type="dxa" w:w="120"/>
            </w:tcMar>
          </w:tcPr>
          <w:p>
            <w:r>
              <w:rPr>
                <w:b w:val="false"/>
                <w:bCs w:val="false"/>
                <w:color w:val="000000"/>
                <w:sz w:val="19"/>
                <w:szCs w:val="19"/>
              </w:rPr>
              <w:t xml:space="preserve">Nov. 2024 : plusieurs endpoints dépréciés pour les nouvelles apps (recommandations, audio-features, audio-analysis, artistes similaires, playlists à la une). Mars 2025 : le mode développeur (avant validation étendue) exige un compte Premium côté développeur et limite à 5 utilisateurs de test (contre 25 avant). La lecture à la demande d'un titre exige un compte Premium sur l'appareil qui joue le son.</w:t>
            </w:r>
          </w:p>
        </w:tc>
        <w:tc>
          <w:tcPr>
            <w:tcW w:type="dxa" w:w="3100"/>
            <w:tcMar>
              <w:top w:type="dxa" w:w="100"/>
              <w:left w:type="dxa" w:w="120"/>
              <w:bottom w:type="dxa" w:w="100"/>
              <w:right w:type="dxa" w:w="120"/>
            </w:tcMar>
          </w:tcPr>
          <w:p>
            <w:r>
              <w:rPr>
                <w:b w:val="false"/>
                <w:bCs w:val="false"/>
                <w:color w:val="000000"/>
                <w:sz w:val="19"/>
                <w:szCs w:val="19"/>
              </w:rPr>
              <w:t xml:space="preserve">Source principale du MVP. Cohérent avec l'architecture "un seul hôte Premium". Prévoir une demande d'extension de quota à Spotify avant toute ouverture au-delà du cercle proche.</w:t>
            </w:r>
          </w:p>
        </w:tc>
      </w:tr>
      <w:tr>
        <w:tc>
          <w:tcPr>
            <w:tcW w:type="dxa" w:w="1400"/>
            <w:tcMar>
              <w:top w:type="dxa" w:w="100"/>
              <w:left w:type="dxa" w:w="120"/>
              <w:bottom w:type="dxa" w:w="100"/>
              <w:right w:type="dxa" w:w="120"/>
            </w:tcMar>
          </w:tcPr>
          <w:p>
            <w:r>
              <w:rPr>
                <w:b w:val="false"/>
                <w:bCs w:val="false"/>
                <w:color w:val="000000"/>
                <w:sz w:val="19"/>
                <w:szCs w:val="19"/>
              </w:rPr>
              <w:t xml:space="preserve">Deezer</w:t>
            </w:r>
          </w:p>
        </w:tc>
        <w:tc>
          <w:tcPr>
            <w:tcW w:type="dxa" w:w="2900"/>
            <w:tcMar>
              <w:top w:type="dxa" w:w="100"/>
              <w:left w:type="dxa" w:w="120"/>
              <w:bottom w:type="dxa" w:w="100"/>
              <w:right w:type="dxa" w:w="120"/>
            </w:tcMar>
          </w:tcPr>
          <w:p>
            <w:r>
              <w:rPr>
                <w:b w:val="false"/>
                <w:bCs w:val="false"/>
                <w:color w:val="000000"/>
                <w:sz w:val="19"/>
                <w:szCs w:val="19"/>
              </w:rPr>
              <w:t xml:space="preserve">Interdiction de stockage local/hors-ligne des extraits ; utilisateurs non connectés limités à 30 secondes ; retours de développeurs indiquant que les CGU découragent explicitement l'usage en "rhythm game"/quiz.</w:t>
            </w:r>
          </w:p>
        </w:tc>
        <w:tc>
          <w:tcPr>
            <w:tcW w:type="dxa" w:w="3100"/>
            <w:tcMar>
              <w:top w:type="dxa" w:w="100"/>
              <w:left w:type="dxa" w:w="120"/>
              <w:bottom w:type="dxa" w:w="100"/>
              <w:right w:type="dxa" w:w="120"/>
            </w:tcMar>
          </w:tcPr>
          <w:p>
            <w:r>
              <w:rPr>
                <w:b w:val="false"/>
                <w:bCs w:val="false"/>
                <w:color w:val="000000"/>
                <w:sz w:val="19"/>
                <w:szCs w:val="19"/>
              </w:rPr>
              <w:t xml:space="preserve">À éviter comme source principale. Envisageable seulement via un accord commercial dédié si le projet grandit.</w:t>
            </w:r>
          </w:p>
        </w:tc>
      </w:tr>
      <w:tr>
        <w:tc>
          <w:tcPr>
            <w:tcW w:type="dxa" w:w="1400"/>
            <w:tcMar>
              <w:top w:type="dxa" w:w="100"/>
              <w:left w:type="dxa" w:w="120"/>
              <w:bottom w:type="dxa" w:w="100"/>
              <w:right w:type="dxa" w:w="120"/>
            </w:tcMar>
          </w:tcPr>
          <w:p>
            <w:r>
              <w:rPr>
                <w:b w:val="false"/>
                <w:bCs w:val="false"/>
                <w:color w:val="000000"/>
                <w:sz w:val="19"/>
                <w:szCs w:val="19"/>
              </w:rPr>
              <w:t xml:space="preserve">YouTube</w:t>
            </w:r>
          </w:p>
        </w:tc>
        <w:tc>
          <w:tcPr>
            <w:tcW w:type="dxa" w:w="2900"/>
            <w:tcMar>
              <w:top w:type="dxa" w:w="100"/>
              <w:left w:type="dxa" w:w="120"/>
              <w:bottom w:type="dxa" w:w="100"/>
              <w:right w:type="dxa" w:w="120"/>
            </w:tcMar>
          </w:tcPr>
          <w:p>
            <w:r>
              <w:rPr>
                <w:b w:val="false"/>
                <w:bCs w:val="false"/>
                <w:color w:val="000000"/>
                <w:sz w:val="19"/>
                <w:szCs w:val="19"/>
              </w:rPr>
              <w:t xml:space="preserve">Interdiction explicite de lecture audio en arrière-plan : le lecteur doit rester visible à l'écran.</w:t>
            </w:r>
          </w:p>
        </w:tc>
        <w:tc>
          <w:tcPr>
            <w:tcW w:type="dxa" w:w="3100"/>
            <w:tcMar>
              <w:top w:type="dxa" w:w="100"/>
              <w:left w:type="dxa" w:w="120"/>
              <w:bottom w:type="dxa" w:w="100"/>
              <w:right w:type="dxa" w:w="120"/>
            </w:tcMar>
          </w:tcPr>
          <w:p>
            <w:r>
              <w:rPr>
                <w:b w:val="false"/>
                <w:bCs w:val="false"/>
                <w:color w:val="000000"/>
                <w:sz w:val="19"/>
                <w:szCs w:val="19"/>
              </w:rPr>
              <w:t xml:space="preserve">Bonne source complémentaire (mode aléatoire), à condition de garder le lecteur visible dans l'interface hôte.</w:t>
            </w:r>
          </w:p>
        </w:tc>
      </w:tr>
      <w:tr>
        <w:tc>
          <w:tcPr>
            <w:tcW w:type="dxa" w:w="1400"/>
            <w:tcMar>
              <w:top w:type="dxa" w:w="100"/>
              <w:left w:type="dxa" w:w="120"/>
              <w:bottom w:type="dxa" w:w="100"/>
              <w:right w:type="dxa" w:w="120"/>
            </w:tcMar>
          </w:tcPr>
          <w:p>
            <w:r>
              <w:rPr>
                <w:b w:val="false"/>
                <w:bCs w:val="false"/>
                <w:color w:val="000000"/>
                <w:sz w:val="19"/>
                <w:szCs w:val="19"/>
              </w:rPr>
              <w:t xml:space="preserve">Apple Music (MusicKit)</w:t>
            </w:r>
          </w:p>
        </w:tc>
        <w:tc>
          <w:tcPr>
            <w:tcW w:type="dxa" w:w="2900"/>
            <w:tcMar>
              <w:top w:type="dxa" w:w="100"/>
              <w:left w:type="dxa" w:w="120"/>
              <w:bottom w:type="dxa" w:w="100"/>
              <w:right w:type="dxa" w:w="120"/>
            </w:tcMar>
          </w:tcPr>
          <w:p>
            <w:r>
              <w:rPr>
                <w:b w:val="false"/>
                <w:bCs w:val="false"/>
                <w:color w:val="000000"/>
                <w:sz w:val="19"/>
                <w:szCs w:val="19"/>
              </w:rPr>
              <w:t xml:space="preserve">Nécessite un compte développeur Apple payant (99$/an) et un abonnement Apple Music actif côté utilisateur pour la lecture complète.</w:t>
            </w:r>
          </w:p>
        </w:tc>
        <w:tc>
          <w:tcPr>
            <w:tcW w:type="dxa" w:w="3100"/>
            <w:tcMar>
              <w:top w:type="dxa" w:w="100"/>
              <w:left w:type="dxa" w:w="120"/>
              <w:bottom w:type="dxa" w:w="100"/>
              <w:right w:type="dxa" w:w="120"/>
            </w:tcMar>
          </w:tcPr>
          <w:p>
            <w:r>
              <w:rPr>
                <w:b w:val="false"/>
                <w:bCs w:val="false"/>
                <w:color w:val="000000"/>
                <w:sz w:val="19"/>
                <w:szCs w:val="19"/>
              </w:rPr>
              <w:t xml:space="preserve">À traiter en V2/V3, une fois le concept validé — coût et complexité non justifiés pour un prototype.</w:t>
            </w:r>
          </w:p>
        </w:tc>
      </w:tr>
    </w:tbl>
    <w:p>
      <w:pPr>
        <w:pStyle w:val="Heading1"/>
        <w:pBdr>
          <w:bottom w:val="single" w:color="6C2BD9" w:sz="12" w:space="4"/>
        </w:pBdr>
        <w:spacing w:after="160" w:before="360"/>
      </w:pPr>
      <w:r>
        <w:rPr>
          <w:b/>
          <w:bCs/>
          <w:color w:val="6C2BD9"/>
          <w:sz w:val="30"/>
          <w:szCs w:val="30"/>
        </w:rPr>
        <w:t xml:space="preserve">5. Structure du projet Git</w:t>
      </w:r>
    </w:p>
    <w:p>
      <w:pPr>
        <w:spacing w:after="160"/>
      </w:pPr>
      <w:r>
        <w:rPr>
          <w:sz w:val="21"/>
          <w:szCs w:val="21"/>
        </w:rPr>
        <w:t xml:space="preserve">Repo unique (monorepo) avec workspaces, pour partager la logique de jeu et le design system entre l'appli mobile et l'écran hôte web.</w:t>
      </w:r>
    </w:p>
    <w:p>
      <w:pPr>
        <w:spacing w:after="0"/>
      </w:pPr>
      <w:r>
        <w:rPr>
          <w:rFonts w:ascii="Courier New" w:cs="Courier New" w:eastAsia="Courier New" w:hAnsi="Courier New"/>
          <w:sz w:val="18"/>
          <w:szCs w:val="18"/>
        </w:rPr>
        <w:t xml:space="preserve">blindtest-app/</w:t>
      </w:r>
    </w:p>
    <w:p>
      <w:pPr>
        <w:spacing w:after="0"/>
      </w:pPr>
      <w:r>
        <w:rPr>
          <w:rFonts w:ascii="Courier New" w:cs="Courier New" w:eastAsia="Courier New" w:hAnsi="Courier New"/>
          <w:sz w:val="18"/>
          <w:szCs w:val="18"/>
        </w:rPr>
        <w:t xml:space="preserve">├── apps/</w:t>
      </w:r>
    </w:p>
    <w:p>
      <w:pPr>
        <w:spacing w:after="0"/>
      </w:pPr>
      <w:r>
        <w:rPr>
          <w:rFonts w:ascii="Courier New" w:cs="Courier New" w:eastAsia="Courier New" w:hAnsi="Courier New"/>
          <w:sz w:val="18"/>
          <w:szCs w:val="18"/>
        </w:rPr>
        <w:t xml:space="preserve">│   ├── mobile/            # Appli React Native (Expo) — joueurs + hôte nomade</w:t>
      </w:r>
    </w:p>
    <w:p>
      <w:pPr>
        <w:spacing w:after="0"/>
      </w:pPr>
      <w:r>
        <w:rPr>
          <w:rFonts w:ascii="Courier New" w:cs="Courier New" w:eastAsia="Courier New" w:hAnsi="Courier New"/>
          <w:sz w:val="18"/>
          <w:szCs w:val="18"/>
        </w:rPr>
        <w:t xml:space="preserve">│   ├── web-host/          # Next.js — écran hôte projetable</w:t>
      </w:r>
    </w:p>
    <w:p>
      <w:pPr>
        <w:spacing w:after="0"/>
      </w:pPr>
      <w:r>
        <w:rPr>
          <w:rFonts w:ascii="Courier New" w:cs="Courier New" w:eastAsia="Courier New" w:hAnsi="Courier New"/>
          <w:sz w:val="18"/>
          <w:szCs w:val="18"/>
        </w:rPr>
        <w:t xml:space="preserve">├── packages/</w:t>
      </w:r>
    </w:p>
    <w:p>
      <w:pPr>
        <w:spacing w:after="0"/>
      </w:pPr>
      <w:r>
        <w:rPr>
          <w:rFonts w:ascii="Courier New" w:cs="Courier New" w:eastAsia="Courier New" w:hAnsi="Courier New"/>
          <w:sz w:val="18"/>
          <w:szCs w:val="18"/>
        </w:rPr>
        <w:t xml:space="preserve">│   ├── ui/                # Design system partagé (tokens couleur, typo, composants)</w:t>
      </w:r>
    </w:p>
    <w:p>
      <w:pPr>
        <w:spacing w:after="0"/>
      </w:pPr>
      <w:r>
        <w:rPr>
          <w:rFonts w:ascii="Courier New" w:cs="Courier New" w:eastAsia="Courier New" w:hAnsi="Courier New"/>
          <w:sz w:val="18"/>
          <w:szCs w:val="18"/>
        </w:rPr>
        <w:t xml:space="preserve">│   ├── game-logic/        # Règles du jeu, scoring, résolution des buzz (TypeScript partagé)</w:t>
      </w:r>
    </w:p>
    <w:p>
      <w:pPr>
        <w:spacing w:after="0"/>
      </w:pPr>
      <w:r>
        <w:rPr>
          <w:rFonts w:ascii="Courier New" w:cs="Courier New" w:eastAsia="Courier New" w:hAnsi="Courier New"/>
          <w:sz w:val="18"/>
          <w:szCs w:val="18"/>
        </w:rPr>
        <w:t xml:space="preserve">│   ├── api-clients/       # Wrappers Spotify / Deezer / YouTube</w:t>
      </w:r>
    </w:p>
    <w:p>
      <w:pPr>
        <w:spacing w:after="0"/>
      </w:pPr>
      <w:r>
        <w:rPr>
          <w:rFonts w:ascii="Courier New" w:cs="Courier New" w:eastAsia="Courier New" w:hAnsi="Courier New"/>
          <w:sz w:val="18"/>
          <w:szCs w:val="18"/>
        </w:rPr>
        <w:t xml:space="preserve">├── supabase/</w:t>
      </w:r>
    </w:p>
    <w:p>
      <w:pPr>
        <w:spacing w:after="0"/>
      </w:pPr>
      <w:r>
        <w:rPr>
          <w:rFonts w:ascii="Courier New" w:cs="Courier New" w:eastAsia="Courier New" w:hAnsi="Courier New"/>
          <w:sz w:val="18"/>
          <w:szCs w:val="18"/>
        </w:rPr>
        <w:t xml:space="preserve">│   ├── migrations/        # Schéma Postgres versionné</w:t>
      </w:r>
    </w:p>
    <w:p>
      <w:pPr>
        <w:spacing w:after="0"/>
      </w:pPr>
      <w:r>
        <w:rPr>
          <w:rFonts w:ascii="Courier New" w:cs="Courier New" w:eastAsia="Courier New" w:hAnsi="Courier New"/>
          <w:sz w:val="18"/>
          <w:szCs w:val="18"/>
        </w:rPr>
        <w:t xml:space="preserve">│   ├── functions/         # Edge Functions (génération IA, matching vocal, etc.)</w:t>
      </w:r>
    </w:p>
    <w:p>
      <w:pPr>
        <w:spacing w:after="0"/>
      </w:pPr>
      <w:r>
        <w:rPr>
          <w:rFonts w:ascii="Courier New" w:cs="Courier New" w:eastAsia="Courier New" w:hAnsi="Courier New"/>
          <w:sz w:val="18"/>
          <w:szCs w:val="18"/>
        </w:rPr>
        <w:t xml:space="preserve">├── docs/</w:t>
      </w:r>
    </w:p>
    <w:p>
      <w:pPr>
        <w:spacing w:after="0"/>
      </w:pPr>
      <w:r>
        <w:rPr>
          <w:rFonts w:ascii="Courier New" w:cs="Courier New" w:eastAsia="Courier New" w:hAnsi="Courier New"/>
          <w:sz w:val="18"/>
          <w:szCs w:val="18"/>
        </w:rPr>
        <w:t xml:space="preserve">│   ├── architecture/</w:t>
      </w:r>
    </w:p>
    <w:p>
      <w:pPr>
        <w:spacing w:after="0"/>
      </w:pPr>
      <w:r>
        <w:rPr>
          <w:rFonts w:ascii="Courier New" w:cs="Courier New" w:eastAsia="Courier New" w:hAnsi="Courier New"/>
          <w:sz w:val="18"/>
          <w:szCs w:val="18"/>
        </w:rPr>
        <w:t xml:space="preserve">│   ├── business-plan.md</w:t>
      </w:r>
    </w:p>
    <w:p>
      <w:pPr>
        <w:spacing w:after="0"/>
      </w:pPr>
      <w:r>
        <w:rPr>
          <w:rFonts w:ascii="Courier New" w:cs="Courier New" w:eastAsia="Courier New" w:hAnsi="Courier New"/>
          <w:sz w:val="18"/>
          <w:szCs w:val="18"/>
        </w:rPr>
        <w:t xml:space="preserve">├── .github/workflows/     # CI (lint, tests, build)</w:t>
      </w:r>
    </w:p>
    <w:p>
      <w:pPr>
        <w:spacing w:after="0"/>
      </w:pPr>
      <w:r>
        <w:rPr>
          <w:rFonts w:ascii="Courier New" w:cs="Courier New" w:eastAsia="Courier New" w:hAnsi="Courier New"/>
          <w:sz w:val="18"/>
          <w:szCs w:val="18"/>
        </w:rPr>
        <w:t xml:space="preserve">├── package.json</w:t>
      </w:r>
    </w:p>
    <w:p>
      <w:pPr>
        <w:spacing w:after="0"/>
      </w:pPr>
      <w:r>
        <w:rPr>
          <w:rFonts w:ascii="Courier New" w:cs="Courier New" w:eastAsia="Courier New" w:hAnsi="Courier New"/>
          <w:sz w:val="18"/>
          <w:szCs w:val="18"/>
        </w:rPr>
        <w:t xml:space="preserve">├── turbo.json</w:t>
      </w:r>
    </w:p>
    <w:p>
      <w:pPr>
        <w:spacing w:after="200"/>
      </w:pPr>
      <w:r>
        <w:rPr>
          <w:rFonts w:ascii="Courier New" w:cs="Courier New" w:eastAsia="Courier New" w:hAnsi="Courier New"/>
          <w:sz w:val="18"/>
          <w:szCs w:val="18"/>
        </w:rPr>
        <w:t xml:space="preserve">└── README.md</w:t>
      </w:r>
    </w:p>
    <w:p>
      <w:pPr>
        <w:spacing w:after="160"/>
      </w:pPr>
      <w:r>
        <w:rPr>
          <w:b/>
          <w:bCs/>
          <w:sz w:val="21"/>
          <w:szCs w:val="21"/>
        </w:rPr>
        <w:t xml:space="preserve">Branches : </w:t>
      </w:r>
      <w:r>
        <w:rPr>
          <w:sz w:val="21"/>
          <w:szCs w:val="21"/>
        </w:rPr>
        <w:t xml:space="preserve">main (production, protégée) / develop (intégration) / feature/&lt;nom&gt; (une branche par fonctionnalité) → Pull Request vers develop → merge périodique de develop vers main pour chaque release.</w:t>
      </w:r>
    </w:p>
    <w:p>
      <w:pPr>
        <w:spacing w:after="160"/>
      </w:pPr>
      <w:r>
        <w:rPr>
          <w:b/>
          <w:bCs/>
          <w:sz w:val="21"/>
          <w:szCs w:val="21"/>
        </w:rPr>
        <w:t xml:space="preserve">Commits : </w:t>
      </w:r>
      <w:r>
        <w:rPr>
          <w:sz w:val="21"/>
          <w:szCs w:val="21"/>
        </w:rPr>
        <w:t xml:space="preserve">convention Conventional Commits (feat:, fix:, chore:, docs:, refactor:) et tags de version sémantique (v0.1.0, v0.2.0…) à chaque étape notable.</w:t>
      </w:r>
    </w:p>
    <w:p>
      <w:pPr>
        <w:pStyle w:val="Heading1"/>
        <w:pBdr>
          <w:bottom w:val="single" w:color="6C2BD9" w:sz="12" w:space="4"/>
        </w:pBdr>
        <w:spacing w:after="160" w:before="360"/>
      </w:pPr>
      <w:r>
        <w:rPr>
          <w:b/>
          <w:bCs/>
          <w:color w:val="6C2BD9"/>
          <w:sz w:val="30"/>
          <w:szCs w:val="30"/>
        </w:rPr>
        <w:t xml:space="preserve">6. Direction artistique &amp; responsive</w:t>
      </w:r>
    </w:p>
    <w:p>
      <w:pPr>
        <w:pStyle w:val="Heading2"/>
        <w:spacing w:after="120" w:before="280"/>
      </w:pPr>
      <w:r>
        <w:rPr>
          <w:b/>
          <w:bCs/>
          <w:color w:val="2A1B4D"/>
          <w:sz w:val="24"/>
          <w:szCs w:val="24"/>
        </w:rPr>
        <w:t xml:space="preserve">Identité visuelle</w:t>
      </w:r>
    </w:p>
    <w:p>
      <w:pPr>
        <w:spacing w:after="160"/>
      </w:pPr>
      <w:r>
        <w:rPr>
          <w:sz w:val="21"/>
          <w:szCs w:val="21"/>
        </w:rPr>
        <w:t xml:space="preserve">Ambiance "jeu télé / arcade néon" : fond sombre, couleurs vives par équipe, typographie condensée et bold pour les scores et le timer, flash/animation au moment du buzz. Les tokens (couleurs, typographie, espacements) sont définis une seule fois et partagés entre le web (Tailwind) et le mobile (NativeWind) pour garder une cohérence totale.</w:t>
      </w:r>
    </w:p>
    <w:p>
      <w:pPr>
        <w:pStyle w:val="Heading2"/>
        <w:spacing w:after="120" w:before="280"/>
      </w:pPr>
      <w:r>
        <w:rPr>
          <w:b/>
          <w:bCs/>
          <w:color w:val="2A1B4D"/>
          <w:sz w:val="24"/>
          <w:szCs w:val="24"/>
        </w:rPr>
        <w:t xml:space="preserve">Deux contextes, deux écrans à designer séparément</w:t>
      </w:r>
    </w:p>
    <w:p>
      <w:pPr>
        <w:pStyle w:val="ListParagraph"/>
        <w:numPr>
          <w:ilvl w:val="0"/>
          <w:numId w:val="2"/>
        </w:numPr>
        <w:spacing w:after="100"/>
      </w:pPr>
      <w:r>
        <w:rPr>
          <w:sz w:val="21"/>
          <w:szCs w:val="21"/>
        </w:rPr>
        <w:t xml:space="preserve">Écran hôte (TV / projeté) : lisible à distance — gros texte, fort contraste, peu d'éléments par écran. Résolution de référence 1920×1080, mais doit rester lisible en plein écran sur un simple laptop.</w:t>
      </w:r>
    </w:p>
    <w:p>
      <w:pPr>
        <w:pStyle w:val="ListParagraph"/>
        <w:numPr>
          <w:ilvl w:val="0"/>
          <w:numId w:val="2"/>
        </w:numPr>
        <w:spacing w:after="100"/>
      </w:pPr>
      <w:r>
        <w:rPr>
          <w:sz w:val="21"/>
          <w:szCs w:val="21"/>
        </w:rPr>
        <w:t xml:space="preserve">Écran joueur (mobile, buzzer) : pensé pour une prise en main à une main — un gros bouton de buzz qui domine l'écran, retour haptique à l'appui, score et pseudo toujours visibles, interface sobre pour ne pas distraire au moment crucial.</w:t>
      </w:r>
    </w:p>
    <w:p>
      <w:pPr>
        <w:pStyle w:val="Heading1"/>
        <w:pBdr>
          <w:bottom w:val="single" w:color="6C2BD9" w:sz="12" w:space="4"/>
        </w:pBdr>
        <w:spacing w:after="160" w:before="360"/>
      </w:pPr>
      <w:r>
        <w:rPr>
          <w:b/>
          <w:bCs/>
          <w:color w:val="6C2BD9"/>
          <w:sz w:val="30"/>
          <w:szCs w:val="30"/>
        </w:rPr>
        <w:t xml:space="preserve">7.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600"/>
      </w:tblGrid>
      <w:tr>
        <w:tc>
          <w:tcPr>
            <w:tcW w:type="dxa" w:w="900"/>
            <w:shd w:fill="2A1B4D" w:val="clear"/>
            <w:tcMar>
              <w:top w:type="dxa" w:w="100"/>
              <w:left w:type="dxa" w:w="120"/>
              <w:bottom w:type="dxa" w:w="100"/>
              <w:right w:type="dxa" w:w="120"/>
            </w:tcMar>
          </w:tcPr>
          <w:p>
            <w:r>
              <w:rPr>
                <w:b/>
                <w:bCs/>
                <w:color w:val="FFFFFF"/>
                <w:sz w:val="19"/>
                <w:szCs w:val="19"/>
              </w:rPr>
              <w:t xml:space="preserve">Étape</w:t>
            </w:r>
          </w:p>
        </w:tc>
        <w:tc>
          <w:tcPr>
            <w:tcW w:type="dxa" w:w="2900"/>
            <w:shd w:fill="2A1B4D" w:val="clear"/>
            <w:tcMar>
              <w:top w:type="dxa" w:w="100"/>
              <w:left w:type="dxa" w:w="120"/>
              <w:bottom w:type="dxa" w:w="100"/>
              <w:right w:type="dxa" w:w="120"/>
            </w:tcMar>
          </w:tcPr>
          <w:p>
            <w:r>
              <w:rPr>
                <w:b/>
                <w:bCs/>
                <w:color w:val="FFFFFF"/>
                <w:sz w:val="19"/>
                <w:szCs w:val="19"/>
              </w:rPr>
              <w:t xml:space="preserve">Objectif</w:t>
            </w:r>
          </w:p>
        </w:tc>
        <w:tc>
          <w:tcPr>
            <w:tcW w:type="dxa" w:w="5600"/>
            <w:shd w:fill="2A1B4D" w:val="clear"/>
            <w:tcMar>
              <w:top w:type="dxa" w:w="100"/>
              <w:left w:type="dxa" w:w="120"/>
              <w:bottom w:type="dxa" w:w="100"/>
              <w:right w:type="dxa" w:w="120"/>
            </w:tcMar>
          </w:tcPr>
          <w:p>
            <w:r>
              <w:rPr>
                <w:b/>
                <w:bCs/>
                <w:color w:val="FFFFFF"/>
                <w:sz w:val="19"/>
                <w:szCs w:val="19"/>
              </w:rPr>
              <w:t xml:space="preserve">Contenu</w:t>
            </w:r>
          </w:p>
        </w:tc>
      </w:tr>
      <w:tr>
        <w:tc>
          <w:tcPr>
            <w:tcW w:type="dxa" w:w="900"/>
            <w:tcMar>
              <w:top w:type="dxa" w:w="100"/>
              <w:left w:type="dxa" w:w="120"/>
              <w:bottom w:type="dxa" w:w="100"/>
              <w:right w:type="dxa" w:w="120"/>
            </w:tcMar>
          </w:tcPr>
          <w:p>
            <w:r>
              <w:rPr>
                <w:b w:val="false"/>
                <w:bCs w:val="false"/>
                <w:color w:val="000000"/>
                <w:sz w:val="19"/>
                <w:szCs w:val="19"/>
              </w:rPr>
              <w:t xml:space="preserve">V0</w:t>
            </w:r>
          </w:p>
        </w:tc>
        <w:tc>
          <w:tcPr>
            <w:tcW w:type="dxa" w:w="2900"/>
            <w:tcMar>
              <w:top w:type="dxa" w:w="100"/>
              <w:left w:type="dxa" w:w="120"/>
              <w:bottom w:type="dxa" w:w="100"/>
              <w:right w:type="dxa" w:w="120"/>
            </w:tcMar>
          </w:tcPr>
          <w:p>
            <w:r>
              <w:rPr>
                <w:b w:val="false"/>
                <w:bCs w:val="false"/>
                <w:color w:val="000000"/>
                <w:sz w:val="19"/>
                <w:szCs w:val="19"/>
              </w:rPr>
              <w:t xml:space="preserve">Prototype technique</w:t>
            </w:r>
          </w:p>
        </w:tc>
        <w:tc>
          <w:tcPr>
            <w:tcW w:type="dxa" w:w="5600"/>
            <w:tcMar>
              <w:top w:type="dxa" w:w="100"/>
              <w:left w:type="dxa" w:w="120"/>
              <w:bottom w:type="dxa" w:w="100"/>
              <w:right w:type="dxa" w:w="120"/>
            </w:tcMar>
          </w:tcPr>
          <w:p>
            <w:r>
              <w:rPr>
                <w:b w:val="false"/>
                <w:bCs w:val="false"/>
                <w:color w:val="000000"/>
                <w:sz w:val="19"/>
                <w:szCs w:val="19"/>
              </w:rPr>
              <w:t xml:space="preserve">1 partie, 1 hôte + 2-3 joueurs, playlist Spotify fixe, buzzer simple "premier arrivé", scoring manuel affiché à l'écran hôte. Objectif : valider que l'architecture temps réel + lecture Spotify fonctionne bien.</w:t>
            </w:r>
          </w:p>
        </w:tc>
      </w:tr>
      <w:tr>
        <w:tc>
          <w:tcPr>
            <w:tcW w:type="dxa" w:w="900"/>
            <w:tcMar>
              <w:top w:type="dxa" w:w="100"/>
              <w:left w:type="dxa" w:w="120"/>
              <w:bottom w:type="dxa" w:w="100"/>
              <w:right w:type="dxa" w:w="120"/>
            </w:tcMar>
          </w:tcPr>
          <w:p>
            <w:r>
              <w:rPr>
                <w:b w:val="false"/>
                <w:bCs w:val="false"/>
                <w:color w:val="000000"/>
                <w:sz w:val="19"/>
                <w:szCs w:val="19"/>
              </w:rPr>
              <w:t xml:space="preserve">V1</w:t>
            </w:r>
          </w:p>
        </w:tc>
        <w:tc>
          <w:tcPr>
            <w:tcW w:type="dxa" w:w="2900"/>
            <w:tcMar>
              <w:top w:type="dxa" w:w="100"/>
              <w:left w:type="dxa" w:w="120"/>
              <w:bottom w:type="dxa" w:w="100"/>
              <w:right w:type="dxa" w:w="120"/>
            </w:tcMar>
          </w:tcPr>
          <w:p>
            <w:r>
              <w:rPr>
                <w:b w:val="false"/>
                <w:bCs w:val="false"/>
                <w:color w:val="000000"/>
                <w:sz w:val="19"/>
                <w:szCs w:val="19"/>
              </w:rPr>
              <w:t xml:space="preserve">MVP complet</w:t>
            </w:r>
          </w:p>
        </w:tc>
        <w:tc>
          <w:tcPr>
            <w:tcW w:type="dxa" w:w="5600"/>
            <w:tcMar>
              <w:top w:type="dxa" w:w="100"/>
              <w:left w:type="dxa" w:w="120"/>
              <w:bottom w:type="dxa" w:w="100"/>
              <w:right w:type="dxa" w:w="120"/>
            </w:tcMar>
          </w:tcPr>
          <w:p>
            <w:r>
              <w:rPr>
                <w:b w:val="false"/>
                <w:bCs w:val="false"/>
                <w:color w:val="000000"/>
                <w:sz w:val="19"/>
                <w:szCs w:val="19"/>
              </w:rPr>
              <w:t xml:space="preserve">Modes solo/équipe, sélection de thème parmi des playlists prédéfinies, buzzer avec les deux options de réponse (manuelle et vocale), code de partie pour rejoindre, scoreboard temps réel.</w:t>
            </w:r>
          </w:p>
        </w:tc>
      </w:tr>
      <w:tr>
        <w:tc>
          <w:tcPr>
            <w:tcW w:type="dxa" w:w="900"/>
            <w:tcMar>
              <w:top w:type="dxa" w:w="100"/>
              <w:left w:type="dxa" w:w="120"/>
              <w:bottom w:type="dxa" w:w="100"/>
              <w:right w:type="dxa" w:w="120"/>
            </w:tcMar>
          </w:tcPr>
          <w:p>
            <w:r>
              <w:rPr>
                <w:b w:val="false"/>
                <w:bCs w:val="false"/>
                <w:color w:val="000000"/>
                <w:sz w:val="19"/>
                <w:szCs w:val="19"/>
              </w:rPr>
              <w:t xml:space="preserve">V2</w:t>
            </w:r>
          </w:p>
        </w:tc>
        <w:tc>
          <w:tcPr>
            <w:tcW w:type="dxa" w:w="2900"/>
            <w:tcMar>
              <w:top w:type="dxa" w:w="100"/>
              <w:left w:type="dxa" w:w="120"/>
              <w:bottom w:type="dxa" w:w="100"/>
              <w:right w:type="dxa" w:w="120"/>
            </w:tcMar>
          </w:tcPr>
          <w:p>
            <w:r>
              <w:rPr>
                <w:b w:val="false"/>
                <w:bCs w:val="false"/>
                <w:color w:val="000000"/>
                <w:sz w:val="19"/>
                <w:szCs w:val="19"/>
              </w:rPr>
              <w:t xml:space="preserve">Enrichissement</w:t>
            </w:r>
          </w:p>
        </w:tc>
        <w:tc>
          <w:tcPr>
            <w:tcW w:type="dxa" w:w="5600"/>
            <w:tcMar>
              <w:top w:type="dxa" w:w="100"/>
              <w:left w:type="dxa" w:w="120"/>
              <w:bottom w:type="dxa" w:w="100"/>
              <w:right w:type="dxa" w:w="120"/>
            </w:tcMar>
          </w:tcPr>
          <w:p>
            <w:r>
              <w:rPr>
                <w:b w:val="false"/>
                <w:bCs w:val="false"/>
                <w:color w:val="000000"/>
                <w:sz w:val="19"/>
                <w:szCs w:val="19"/>
              </w:rPr>
              <w:t xml:space="preserve">Playlists générées par IA à partir d'un thème libre, mode complètement aléatoire, intégration YouTube comme source alternative, historique des parties.</w:t>
            </w:r>
          </w:p>
        </w:tc>
      </w:tr>
      <w:tr>
        <w:tc>
          <w:tcPr>
            <w:tcW w:type="dxa" w:w="900"/>
            <w:tcMar>
              <w:top w:type="dxa" w:w="100"/>
              <w:left w:type="dxa" w:w="120"/>
              <w:bottom w:type="dxa" w:w="100"/>
              <w:right w:type="dxa" w:w="120"/>
            </w:tcMar>
          </w:tcPr>
          <w:p>
            <w:r>
              <w:rPr>
                <w:b w:val="false"/>
                <w:bCs w:val="false"/>
                <w:color w:val="000000"/>
                <w:sz w:val="19"/>
                <w:szCs w:val="19"/>
              </w:rPr>
              <w:t xml:space="preserve">V3</w:t>
            </w:r>
          </w:p>
        </w:tc>
        <w:tc>
          <w:tcPr>
            <w:tcW w:type="dxa" w:w="2900"/>
            <w:tcMar>
              <w:top w:type="dxa" w:w="100"/>
              <w:left w:type="dxa" w:w="120"/>
              <w:bottom w:type="dxa" w:w="100"/>
              <w:right w:type="dxa" w:w="120"/>
            </w:tcMar>
          </w:tcPr>
          <w:p>
            <w:r>
              <w:rPr>
                <w:b w:val="false"/>
                <w:bCs w:val="false"/>
                <w:color w:val="000000"/>
                <w:sz w:val="19"/>
                <w:szCs w:val="19"/>
              </w:rPr>
              <w:t xml:space="preserve">Passage à l'échelle (optionnel)</w:t>
            </w:r>
          </w:p>
        </w:tc>
        <w:tc>
          <w:tcPr>
            <w:tcW w:type="dxa" w:w="5600"/>
            <w:tcMar>
              <w:top w:type="dxa" w:w="100"/>
              <w:left w:type="dxa" w:w="120"/>
              <w:bottom w:type="dxa" w:w="100"/>
              <w:right w:type="dxa" w:w="120"/>
            </w:tcMar>
          </w:tcPr>
          <w:p>
            <w:r>
              <w:rPr>
                <w:b w:val="false"/>
                <w:bCs w:val="false"/>
                <w:color w:val="000000"/>
                <w:sz w:val="19"/>
                <w:szCs w:val="19"/>
              </w:rPr>
              <w:t xml:space="preserve">Comptes persistants, statistiques et classements sur plusieurs soirées, intégration Apple Music, demande d'extension de quota Spotify, publication sur les stores.</w:t>
            </w:r>
          </w:p>
        </w:tc>
      </w:tr>
    </w:tbl>
    <w:p>
      <w:pPr>
        <w:pStyle w:val="Heading1"/>
        <w:pBdr>
          <w:bottom w:val="single" w:color="6C2BD9" w:sz="12" w:space="4"/>
        </w:pBdr>
        <w:spacing w:after="160" w:before="360"/>
      </w:pPr>
      <w:r>
        <w:rPr>
          <w:b/>
          <w:bCs/>
          <w:color w:val="6C2BD9"/>
          <w:sz w:val="30"/>
          <w:szCs w:val="30"/>
        </w:rPr>
        <w:t xml:space="preserve">8. Business plan léger</w:t>
      </w:r>
    </w:p>
    <w:p>
      <w:pPr>
        <w:spacing w:after="160"/>
      </w:pPr>
      <w:r>
        <w:rPr>
          <w:sz w:val="21"/>
          <w:szCs w:val="21"/>
        </w:rPr>
        <w:t xml:space="preserve">L'objectif premier reste le plaisir et l'apprentissage, mais voici les pistes si l'envie de pousser plus loin arrive.</w:t>
      </w:r>
    </w:p>
    <w:p>
      <w:pPr>
        <w:pStyle w:val="Heading2"/>
        <w:spacing w:after="120" w:before="280"/>
      </w:pPr>
      <w:r>
        <w:rPr>
          <w:b/>
          <w:bCs/>
          <w:color w:val="2A1B4D"/>
          <w:sz w:val="24"/>
          <w:szCs w:val="24"/>
        </w:rPr>
        <w:t xml:space="preserve">Positionnement</w:t>
      </w:r>
    </w:p>
    <w:p>
      <w:pPr>
        <w:spacing w:after="160"/>
      </w:pPr>
      <w:r>
        <w:rPr>
          <w:sz w:val="21"/>
          <w:szCs w:val="21"/>
        </w:rPr>
        <w:t xml:space="preserve">Alternative moderne et gratuite à l'improvisation actuelle des blind tests (playlist YouTube + une personne dédiée au changement des sons). Comparables partiels : Kahoot (mécanique buzzer/écran partagé), SongPop (quiz musical mobile), sites de blind test en ligne existants.</w:t>
      </w:r>
    </w:p>
    <w:p>
      <w:pPr>
        <w:pStyle w:val="Heading2"/>
        <w:spacing w:after="120" w:before="280"/>
      </w:pPr>
      <w:r>
        <w:rPr>
          <w:b/>
          <w:bCs/>
          <w:color w:val="2A1B4D"/>
          <w:sz w:val="24"/>
          <w:szCs w:val="24"/>
        </w:rPr>
        <w:t xml:space="preserve">Pistes de monétisation à terme</w:t>
      </w:r>
    </w:p>
    <w:p>
      <w:pPr>
        <w:pStyle w:val="ListParagraph"/>
        <w:numPr>
          <w:ilvl w:val="0"/>
          <w:numId w:val="2"/>
        </w:numPr>
        <w:spacing w:after="100"/>
      </w:pPr>
      <w:r>
        <w:rPr>
          <w:sz w:val="21"/>
          <w:szCs w:val="21"/>
        </w:rPr>
        <w:t xml:space="preserve">Freemium : packs de thèmes premium, playlists IA illimitées en version payante.</w:t>
      </w:r>
    </w:p>
    <w:p>
      <w:pPr>
        <w:pStyle w:val="ListParagraph"/>
        <w:numPr>
          <w:ilvl w:val="0"/>
          <w:numId w:val="2"/>
        </w:numPr>
        <w:spacing w:after="100"/>
      </w:pPr>
      <w:r>
        <w:rPr>
          <w:sz w:val="21"/>
          <w:szCs w:val="21"/>
        </w:rPr>
        <w:t xml:space="preserve">Mode "soirée / événementiel" pour bars ou événements étudiants.</w:t>
      </w:r>
    </w:p>
    <w:p>
      <w:pPr>
        <w:pStyle w:val="ListParagraph"/>
        <w:numPr>
          <w:ilvl w:val="0"/>
          <w:numId w:val="2"/>
        </w:numPr>
        <w:spacing w:after="100"/>
      </w:pPr>
      <w:r>
        <w:rPr>
          <w:sz w:val="21"/>
          <w:szCs w:val="21"/>
        </w:rPr>
        <w:t xml:space="preserve">Partenariat éventuel avec une marque ou avec Spotify.</w:t>
      </w:r>
    </w:p>
    <w:p>
      <w:pPr>
        <w:pStyle w:val="Heading2"/>
        <w:spacing w:after="120" w:before="280"/>
      </w:pPr>
      <w:r>
        <w:rPr>
          <w:b/>
          <w:bCs/>
          <w:color w:val="2A1B4D"/>
          <w:sz w:val="24"/>
          <w:szCs w:val="24"/>
        </w:rPr>
        <w:t xml:space="preserve">Coûts à anticiper en cas de croissance</w:t>
      </w:r>
    </w:p>
    <w:p>
      <w:pPr>
        <w:pStyle w:val="ListParagraph"/>
        <w:numPr>
          <w:ilvl w:val="0"/>
          <w:numId w:val="2"/>
        </w:numPr>
        <w:spacing w:after="100"/>
      </w:pPr>
      <w:r>
        <w:rPr>
          <w:sz w:val="21"/>
          <w:szCs w:val="21"/>
        </w:rPr>
        <w:t xml:space="preserve">Paliers payants de Supabase une fois les seuils gratuits dépassés.</w:t>
      </w:r>
    </w:p>
    <w:p>
      <w:pPr>
        <w:pStyle w:val="ListParagraph"/>
        <w:numPr>
          <w:ilvl w:val="0"/>
          <w:numId w:val="2"/>
        </w:numPr>
        <w:spacing w:after="100"/>
      </w:pPr>
      <w:r>
        <w:rPr>
          <w:sz w:val="21"/>
          <w:szCs w:val="21"/>
        </w:rPr>
        <w:t xml:space="preserve">Extension de quota Spotify (gratuite mais soumise à validation par Spotify).</w:t>
      </w:r>
    </w:p>
    <w:p>
      <w:pPr>
        <w:pStyle w:val="ListParagraph"/>
        <w:numPr>
          <w:ilvl w:val="0"/>
          <w:numId w:val="2"/>
        </w:numPr>
        <w:spacing w:after="100"/>
      </w:pPr>
      <w:r>
        <w:rPr>
          <w:sz w:val="21"/>
          <w:szCs w:val="21"/>
        </w:rPr>
        <w:t xml:space="preserve">Coût d'appel à l'API Claude pour la génération de playlists IA.</w:t>
      </w:r>
    </w:p>
    <w:p>
      <w:pPr>
        <w:pStyle w:val="ListParagraph"/>
        <w:numPr>
          <w:ilvl w:val="0"/>
          <w:numId w:val="2"/>
        </w:numPr>
        <w:spacing w:after="100"/>
      </w:pPr>
      <w:r>
        <w:rPr>
          <w:sz w:val="21"/>
          <w:szCs w:val="21"/>
        </w:rPr>
        <w:t xml:space="preserve">Frais de compte développeur Apple (99$/an) et Google Play (25$ à l'inscription) si publication sur les stores.</w:t>
      </w:r>
    </w:p>
    <w:p>
      <w:pPr>
        <w:pStyle w:val="Heading2"/>
        <w:spacing w:after="120" w:before="280"/>
      </w:pPr>
      <w:r>
        <w:rPr>
          <w:b/>
          <w:bCs/>
          <w:color w:val="2A1B4D"/>
          <w:sz w:val="24"/>
          <w:szCs w:val="24"/>
        </w:rPr>
        <w:t xml:space="preserve">Risques identifiés</w:t>
      </w:r>
    </w:p>
    <w:p>
      <w:pPr>
        <w:pStyle w:val="ListParagraph"/>
        <w:numPr>
          <w:ilvl w:val="0"/>
          <w:numId w:val="2"/>
        </w:numPr>
        <w:spacing w:after="100"/>
      </w:pPr>
      <w:r>
        <w:rPr>
          <w:sz w:val="21"/>
          <w:szCs w:val="21"/>
        </w:rPr>
        <w:t xml:space="preserve">Dépendance à des CGU de plateformes musicales qui évoluent vite (durcissement Spotify en 2024-2025).</w:t>
      </w:r>
    </w:p>
    <w:p>
      <w:pPr>
        <w:pStyle w:val="ListParagraph"/>
        <w:numPr>
          <w:ilvl w:val="0"/>
          <w:numId w:val="2"/>
        </w:numPr>
        <w:spacing w:after="100"/>
      </w:pPr>
      <w:r>
        <w:rPr>
          <w:sz w:val="21"/>
          <w:szCs w:val="21"/>
        </w:rPr>
        <w:t xml:space="preserve">Zone grise sur l'obligation de visibilité du lecteur YouTube.</w:t>
      </w:r>
    </w:p>
    <w:p>
      <w:pPr>
        <w:pStyle w:val="ListParagraph"/>
        <w:numPr>
          <w:ilvl w:val="0"/>
          <w:numId w:val="2"/>
        </w:numPr>
        <w:spacing w:after="100"/>
      </w:pPr>
      <w:r>
        <w:rPr>
          <w:sz w:val="21"/>
          <w:szCs w:val="21"/>
        </w:rPr>
        <w:t xml:space="preserve">Deezer probablement fermé à cet usage sans accord commercial.</w:t>
      </w:r>
    </w:p>
    <w:p>
      <w:pPr>
        <w:spacing w:after="160"/>
      </w:pPr>
      <w:r>
        <w:rPr>
          <w:sz w:val="21"/>
          <w:szCs w:val="21"/>
        </w:rPr>
        <w:t xml:space="preserve">→ Conclusion : diversifier les sources musicales dès que possible plutôt que de tout miser sur une seule API.</w:t>
      </w:r>
    </w:p>
    <w:p>
      <w:pPr>
        <w:pStyle w:val="Heading1"/>
        <w:pBdr>
          <w:bottom w:val="single" w:color="6C2BD9" w:sz="12" w:space="4"/>
        </w:pBdr>
        <w:spacing w:after="160" w:before="360"/>
      </w:pPr>
      <w:r>
        <w:rPr>
          <w:b/>
          <w:bCs/>
          <w:color w:val="6C2BD9"/>
          <w:sz w:val="30"/>
          <w:szCs w:val="30"/>
        </w:rPr>
        <w:t xml:space="preserve">9. Prochaines étapes concrètes</w:t>
      </w:r>
    </w:p>
    <w:p>
      <w:pPr>
        <w:pStyle w:val="ListParagraph"/>
        <w:numPr>
          <w:ilvl w:val="0"/>
          <w:numId w:val="2"/>
        </w:numPr>
        <w:spacing w:after="100"/>
      </w:pPr>
      <w:r>
        <w:rPr>
          <w:sz w:val="21"/>
          <w:szCs w:val="21"/>
        </w:rPr>
        <w:t xml:space="preserve">Créer le repo Git avec la structure proposée.</w:t>
      </w:r>
    </w:p>
    <w:p>
      <w:pPr>
        <w:pStyle w:val="ListParagraph"/>
        <w:numPr>
          <w:ilvl w:val="0"/>
          <w:numId w:val="2"/>
        </w:numPr>
        <w:spacing w:after="100"/>
      </w:pPr>
      <w:r>
        <w:rPr>
          <w:sz w:val="21"/>
          <w:szCs w:val="21"/>
        </w:rPr>
        <w:t xml:space="preserve">Créer un compte développeur Spotify et une app en mode développeur pour commencer les tests avec les potes proches (jusqu'à 5 comptes test).</w:t>
      </w:r>
    </w:p>
    <w:p>
      <w:pPr>
        <w:pStyle w:val="ListParagraph"/>
        <w:numPr>
          <w:ilvl w:val="0"/>
          <w:numId w:val="2"/>
        </w:numPr>
        <w:spacing w:after="100"/>
      </w:pPr>
      <w:r>
        <w:rPr>
          <w:sz w:val="21"/>
          <w:szCs w:val="21"/>
        </w:rPr>
        <w:t xml:space="preserve">Scaffolder le projet Expo + Next.js + Supabase.</w:t>
      </w:r>
    </w:p>
    <w:p>
      <w:pPr>
        <w:pStyle w:val="ListParagraph"/>
        <w:numPr>
          <w:ilvl w:val="0"/>
          <w:numId w:val="2"/>
        </w:numPr>
        <w:spacing w:after="100"/>
      </w:pPr>
      <w:r>
        <w:rPr>
          <w:sz w:val="21"/>
          <w:szCs w:val="21"/>
        </w:rPr>
        <w:t xml:space="preserve">Définir ensemble le schéma de données (parties, joueurs, questions, scores, buzz) — c'est exactement le terrain où tes compétences SQL vont être directement utiles.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2026-07-22T15:57:14.601Z</dcterms:created>
  <dcterms:modified xsi:type="dcterms:W3CDTF">2026-07-22T15:57:14.601Z</dcterms:modified>
</cp:coreProperties>
</file>

<file path=docProps/custom.xml><?xml version="1.0" encoding="utf-8"?>
<Properties xmlns="http://schemas.openxmlformats.org/officeDocument/2006/custom-properties" xmlns:vt="http://schemas.openxmlformats.org/officeDocument/2006/docPropsVTypes"/>
</file>