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1791" w14:textId="015ECEE0" w:rsidR="00700C6E" w:rsidRPr="006969BE" w:rsidRDefault="00251DAD" w:rsidP="00251DAD">
      <w:pPr>
        <w:jc w:val="center"/>
        <w:rPr>
          <w:b/>
          <w:bCs/>
          <w:sz w:val="36"/>
          <w:szCs w:val="36"/>
        </w:rPr>
      </w:pPr>
      <w:r w:rsidRPr="006969BE">
        <w:rPr>
          <w:b/>
          <w:bCs/>
          <w:sz w:val="36"/>
          <w:szCs w:val="36"/>
        </w:rPr>
        <w:t xml:space="preserve">Data Analysis on </w:t>
      </w:r>
      <w:proofErr w:type="spellStart"/>
      <w:r w:rsidR="006969BE" w:rsidRPr="006969BE">
        <w:rPr>
          <w:b/>
          <w:bCs/>
          <w:sz w:val="36"/>
          <w:szCs w:val="36"/>
        </w:rPr>
        <w:t>Kalboard</w:t>
      </w:r>
      <w:proofErr w:type="spellEnd"/>
      <w:r w:rsidR="006969BE" w:rsidRPr="006969BE">
        <w:rPr>
          <w:b/>
          <w:bCs/>
          <w:sz w:val="36"/>
          <w:szCs w:val="36"/>
        </w:rPr>
        <w:t xml:space="preserve"> 360’s</w:t>
      </w:r>
      <w:r w:rsidRPr="006969BE">
        <w:rPr>
          <w:b/>
          <w:bCs/>
          <w:sz w:val="36"/>
          <w:szCs w:val="36"/>
        </w:rPr>
        <w:t xml:space="preserve"> Dataset</w:t>
      </w:r>
    </w:p>
    <w:p w14:paraId="30F1C9E6" w14:textId="44725223" w:rsidR="006969BE" w:rsidRPr="006969BE" w:rsidRDefault="006969BE" w:rsidP="006969BE">
      <w:pPr>
        <w:rPr>
          <w:b/>
          <w:bCs/>
          <w:sz w:val="28"/>
          <w:szCs w:val="28"/>
          <w:u w:val="single"/>
        </w:rPr>
      </w:pPr>
      <w:r w:rsidRPr="006969BE">
        <w:rPr>
          <w:b/>
          <w:bCs/>
          <w:sz w:val="28"/>
          <w:szCs w:val="28"/>
          <w:u w:val="single"/>
        </w:rPr>
        <w:t>Introduction</w:t>
      </w:r>
    </w:p>
    <w:p w14:paraId="0F998506" w14:textId="3990F044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 xml:space="preserve">In the realm of educational technology, </w:t>
      </w:r>
      <w:proofErr w:type="spellStart"/>
      <w:r w:rsidRPr="006969BE">
        <w:rPr>
          <w:sz w:val="24"/>
          <w:szCs w:val="24"/>
        </w:rPr>
        <w:t>Kalboard</w:t>
      </w:r>
      <w:proofErr w:type="spellEnd"/>
      <w:r w:rsidRPr="006969BE">
        <w:rPr>
          <w:sz w:val="24"/>
          <w:szCs w:val="24"/>
        </w:rPr>
        <w:t xml:space="preserve"> 360, a multi-agent Learning Management System (LMS), is at the forefront of leveraging advanced technology to provide users with synchronous access to educational resources. The dataset </w:t>
      </w:r>
      <w:proofErr w:type="spellStart"/>
      <w:r w:rsidRPr="006969BE">
        <w:rPr>
          <w:sz w:val="24"/>
          <w:szCs w:val="24"/>
        </w:rPr>
        <w:t>analyzed</w:t>
      </w:r>
      <w:proofErr w:type="spellEnd"/>
      <w:r w:rsidRPr="006969BE">
        <w:rPr>
          <w:sz w:val="24"/>
          <w:szCs w:val="24"/>
        </w:rPr>
        <w:t xml:space="preserve"> in this report is derived from </w:t>
      </w:r>
      <w:proofErr w:type="spellStart"/>
      <w:r w:rsidRPr="006969BE">
        <w:rPr>
          <w:sz w:val="24"/>
          <w:szCs w:val="24"/>
        </w:rPr>
        <w:t>Kalboard</w:t>
      </w:r>
      <w:proofErr w:type="spellEnd"/>
      <w:r w:rsidRPr="006969BE">
        <w:rPr>
          <w:sz w:val="24"/>
          <w:szCs w:val="24"/>
        </w:rPr>
        <w:t xml:space="preserve"> 360, collected through the Experience API (</w:t>
      </w:r>
      <w:proofErr w:type="spellStart"/>
      <w:r w:rsidRPr="006969BE">
        <w:rPr>
          <w:sz w:val="24"/>
          <w:szCs w:val="24"/>
        </w:rPr>
        <w:t>xAPI</w:t>
      </w:r>
      <w:proofErr w:type="spellEnd"/>
      <w:r w:rsidRPr="006969BE">
        <w:rPr>
          <w:sz w:val="24"/>
          <w:szCs w:val="24"/>
        </w:rPr>
        <w:t>), a crucial tool in monitoring learning progress and learner actions within the Training and Learning Architecture (TLA).</w:t>
      </w:r>
    </w:p>
    <w:p w14:paraId="45F43BCA" w14:textId="6B6CB9A8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 xml:space="preserve">Comprising 480 student records and 16 features, the dataset is categorized into three domains: Demographics, Academic background, and </w:t>
      </w:r>
      <w:proofErr w:type="spellStart"/>
      <w:r w:rsidRPr="006969BE">
        <w:rPr>
          <w:sz w:val="24"/>
          <w:szCs w:val="24"/>
        </w:rPr>
        <w:t>Behavioral</w:t>
      </w:r>
      <w:proofErr w:type="spellEnd"/>
      <w:r w:rsidRPr="006969BE">
        <w:rPr>
          <w:sz w:val="24"/>
          <w:szCs w:val="24"/>
        </w:rPr>
        <w:t xml:space="preserve"> features. The diverse student cohort hails from various countries, reflecting a broad cultural spectrum.</w:t>
      </w:r>
    </w:p>
    <w:p w14:paraId="2120F897" w14:textId="451B532C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The dataset spans two educational semesters, incorporating attendance data that classifies students based on absence days. A noteworthy addition is the Parent Participation category, featuring sub-features such as Parent Answering Survey and Parent School Satisfaction.</w:t>
      </w:r>
    </w:p>
    <w:p w14:paraId="68741A22" w14:textId="4AC9E53B" w:rsidR="00251DAD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 xml:space="preserve">This report </w:t>
      </w:r>
      <w:proofErr w:type="spellStart"/>
      <w:r>
        <w:rPr>
          <w:sz w:val="24"/>
          <w:szCs w:val="24"/>
        </w:rPr>
        <w:t>endeavors</w:t>
      </w:r>
      <w:proofErr w:type="spellEnd"/>
      <w:r w:rsidRPr="006969BE">
        <w:rPr>
          <w:sz w:val="24"/>
          <w:szCs w:val="24"/>
        </w:rPr>
        <w:t xml:space="preserve"> to utilize Python and Power BI for data analysis, KPI formulation, and dashboard creation. Through a deep dive into the dataset, our primary goal is to extract meaningful insights that can guide strategic decisions aimed at enhancing engagement on the </w:t>
      </w:r>
      <w:proofErr w:type="spellStart"/>
      <w:r w:rsidRPr="006969BE">
        <w:rPr>
          <w:sz w:val="24"/>
          <w:szCs w:val="24"/>
        </w:rPr>
        <w:t>Kalboard</w:t>
      </w:r>
      <w:proofErr w:type="spellEnd"/>
      <w:r w:rsidRPr="006969BE">
        <w:rPr>
          <w:sz w:val="24"/>
          <w:szCs w:val="24"/>
        </w:rPr>
        <w:t xml:space="preserve"> 360 platform.</w:t>
      </w:r>
    </w:p>
    <w:p w14:paraId="050DC706" w14:textId="77777777" w:rsidR="006969BE" w:rsidRDefault="006969BE" w:rsidP="006969BE">
      <w:pPr>
        <w:rPr>
          <w:sz w:val="24"/>
          <w:szCs w:val="24"/>
        </w:rPr>
      </w:pPr>
    </w:p>
    <w:p w14:paraId="0F55408B" w14:textId="1E3D3233" w:rsidR="006969BE" w:rsidRPr="003D47FA" w:rsidRDefault="006969BE" w:rsidP="006969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Key Insights</w:t>
      </w:r>
    </w:p>
    <w:p w14:paraId="0E5A9A11" w14:textId="5499DA8E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Demographic Overview:</w:t>
      </w:r>
    </w:p>
    <w:p w14:paraId="51915DC0" w14:textId="50C6637E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Nationalities and Places of Birth: Students hail from diverse nationalities and places of birth, reflecting a multicultural environment.</w:t>
      </w:r>
    </w:p>
    <w:p w14:paraId="77F97C06" w14:textId="2D624D0F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Academic Structure:</w:t>
      </w:r>
    </w:p>
    <w:p w14:paraId="3917F42E" w14:textId="77777777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Stage and Grade Distribution: The educational stages include lower level, middle school, and high school, with corresponding grade levels (G-02 to G-12) indicating a range of academic progress.</w:t>
      </w:r>
    </w:p>
    <w:p w14:paraId="66FF683E" w14:textId="77777777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Sectional Diversity: Students are classified into sections A, B, and C, contributing to a comprehensive view of the academic landscape.</w:t>
      </w:r>
    </w:p>
    <w:p w14:paraId="45357645" w14:textId="65E3C352" w:rsidR="006969BE" w:rsidRPr="006969BE" w:rsidRDefault="006969BE" w:rsidP="006969BE">
      <w:pPr>
        <w:rPr>
          <w:sz w:val="24"/>
          <w:szCs w:val="24"/>
        </w:rPr>
      </w:pPr>
      <w:proofErr w:type="spellStart"/>
      <w:r w:rsidRPr="006969BE">
        <w:rPr>
          <w:sz w:val="24"/>
          <w:szCs w:val="24"/>
        </w:rPr>
        <w:t>Behavioral</w:t>
      </w:r>
      <w:proofErr w:type="spellEnd"/>
      <w:r w:rsidRPr="006969BE">
        <w:rPr>
          <w:sz w:val="24"/>
          <w:szCs w:val="24"/>
        </w:rPr>
        <w:t xml:space="preserve"> Patterns:</w:t>
      </w:r>
    </w:p>
    <w:p w14:paraId="2F071FD7" w14:textId="77777777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Topic Engagement: The dataset encompasses a variety of academic topics, such as IT, Math, Arabic, Science, and more, shedding light on the diverse academic interests of students.</w:t>
      </w:r>
    </w:p>
    <w:p w14:paraId="3F5D4EBA" w14:textId="77777777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Semester Analysis: Students' performance and engagement are tracked across two semesters (F and S), allowing for a temporal exploration of academic trends.</w:t>
      </w:r>
    </w:p>
    <w:p w14:paraId="578C93F5" w14:textId="386853D7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Parental Involvement:</w:t>
      </w:r>
    </w:p>
    <w:p w14:paraId="4714F3A6" w14:textId="77777777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lastRenderedPageBreak/>
        <w:t>Parental Responses: Parents actively participate in surveys, with a notable number answering affirmatively. This engagement provides insights into the level of parental involvement in the educational process.</w:t>
      </w:r>
    </w:p>
    <w:p w14:paraId="09D3F263" w14:textId="77777777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Parental Satisfaction: A significant proportion of parents express satisfaction with the school, emphasizing positive sentiment within the community.</w:t>
      </w:r>
    </w:p>
    <w:p w14:paraId="498D4777" w14:textId="156540AA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Numerical Features Overview:</w:t>
      </w:r>
    </w:p>
    <w:p w14:paraId="4BFB7161" w14:textId="77777777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Raised Hands: The average number of raised hands in class is approximately 46.78, with a diverse distribution reflected in the minimum and maximum values.</w:t>
      </w:r>
    </w:p>
    <w:p w14:paraId="08396537" w14:textId="77777777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Visited Resources: On average, students access around 54.80 educational resources, indicating a substantial engagement with additional learning materials.</w:t>
      </w:r>
    </w:p>
    <w:p w14:paraId="1CECB3B1" w14:textId="77777777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Announcements and Discussions: The average views for announcements and participation in discussions are around 37.92 and 43.28, respectively. These figures highlight interactive engagement within the platform.</w:t>
      </w:r>
    </w:p>
    <w:p w14:paraId="511E9E97" w14:textId="686E8043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Categorical Features Summary:</w:t>
      </w:r>
    </w:p>
    <w:p w14:paraId="1EB6DE86" w14:textId="77777777" w:rsidR="006969BE" w:rsidRPr="006969BE" w:rsidRDefault="006969BE" w:rsidP="006969BE">
      <w:pPr>
        <w:rPr>
          <w:sz w:val="24"/>
          <w:szCs w:val="24"/>
        </w:rPr>
      </w:pPr>
      <w:r w:rsidRPr="006969BE">
        <w:rPr>
          <w:sz w:val="24"/>
          <w:szCs w:val="24"/>
        </w:rPr>
        <w:t>Relation and Absence Days: Students primarily identify relations as either fathers or mothers, and their absence days are categorized as either under 7 or above 7, providing insights into familial and attendance dynamics.</w:t>
      </w:r>
    </w:p>
    <w:p w14:paraId="19B7301C" w14:textId="5C2CC4A5" w:rsidR="006969BE" w:rsidRDefault="00513D1D" w:rsidP="006969BE">
      <w:pPr>
        <w:rPr>
          <w:sz w:val="24"/>
          <w:szCs w:val="24"/>
        </w:rPr>
      </w:pPr>
      <w:r w:rsidRPr="00513D1D">
        <w:rPr>
          <w:sz w:val="24"/>
          <w:szCs w:val="24"/>
        </w:rPr>
        <w:drawing>
          <wp:inline distT="0" distB="0" distL="0" distR="0" wp14:anchorId="17B7CC23" wp14:editId="2C70DA32">
            <wp:extent cx="5471160" cy="3653556"/>
            <wp:effectExtent l="0" t="0" r="0" b="4445"/>
            <wp:docPr id="6464656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564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901" cy="365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E170" w14:textId="77777777" w:rsidR="003D47FA" w:rsidRDefault="003D47FA" w:rsidP="003D47FA">
      <w:pPr>
        <w:rPr>
          <w:sz w:val="24"/>
          <w:szCs w:val="24"/>
        </w:rPr>
      </w:pPr>
      <w:r w:rsidRPr="003D47FA">
        <w:rPr>
          <w:sz w:val="24"/>
          <w:szCs w:val="24"/>
        </w:rPr>
        <w:t xml:space="preserve">The bar chart depicting student distribution among different academic levels—High (H), Medium (M), and Low (L)—reveals compelling patterns. With over 125 students in the High level, 200 students in the </w:t>
      </w:r>
      <w:proofErr w:type="gramStart"/>
      <w:r w:rsidRPr="003D47FA">
        <w:rPr>
          <w:sz w:val="24"/>
          <w:szCs w:val="24"/>
        </w:rPr>
        <w:t>Medium</w:t>
      </w:r>
      <w:proofErr w:type="gramEnd"/>
      <w:r w:rsidRPr="003D47FA">
        <w:rPr>
          <w:sz w:val="24"/>
          <w:szCs w:val="24"/>
        </w:rPr>
        <w:t xml:space="preserve"> level, and an additional 125 students in the Low level, the chart underscores the platform's ability to cater to a diverse range of academic proficiencies.</w:t>
      </w:r>
    </w:p>
    <w:p w14:paraId="3B292E45" w14:textId="77777777" w:rsidR="003D47FA" w:rsidRDefault="003D47FA" w:rsidP="006969BE">
      <w:pPr>
        <w:rPr>
          <w:sz w:val="24"/>
          <w:szCs w:val="24"/>
        </w:rPr>
      </w:pPr>
    </w:p>
    <w:p w14:paraId="0620C7DF" w14:textId="2FEC2E37" w:rsidR="006969BE" w:rsidRDefault="00513D1D" w:rsidP="00513D1D">
      <w:pPr>
        <w:rPr>
          <w:sz w:val="24"/>
          <w:szCs w:val="24"/>
        </w:rPr>
      </w:pPr>
      <w:r w:rsidRPr="00513D1D">
        <w:rPr>
          <w:sz w:val="24"/>
          <w:szCs w:val="24"/>
        </w:rPr>
        <w:drawing>
          <wp:inline distT="0" distB="0" distL="0" distR="0" wp14:anchorId="12B5D1DA" wp14:editId="64404407">
            <wp:extent cx="4801016" cy="1013548"/>
            <wp:effectExtent l="0" t="0" r="0" b="0"/>
            <wp:docPr id="163996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65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C212" w14:textId="468121C2" w:rsidR="00513D1D" w:rsidRDefault="00513D1D" w:rsidP="00513D1D">
      <w:pPr>
        <w:jc w:val="center"/>
        <w:rPr>
          <w:sz w:val="24"/>
          <w:szCs w:val="24"/>
        </w:rPr>
      </w:pPr>
      <w:r w:rsidRPr="00513D1D">
        <w:rPr>
          <w:sz w:val="24"/>
          <w:szCs w:val="24"/>
        </w:rPr>
        <w:drawing>
          <wp:inline distT="0" distB="0" distL="0" distR="0" wp14:anchorId="62F8E0D9" wp14:editId="7DC4A35F">
            <wp:extent cx="3870960" cy="3084565"/>
            <wp:effectExtent l="0" t="0" r="0" b="1905"/>
            <wp:docPr id="983760163" name="Picture 1" descr="A graph of a distribution of student lev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60163" name="Picture 1" descr="A graph of a distribution of student leve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293" cy="309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95D3" w14:textId="77777777" w:rsidR="003D47FA" w:rsidRDefault="003D47FA" w:rsidP="003D47FA">
      <w:pPr>
        <w:rPr>
          <w:sz w:val="24"/>
          <w:szCs w:val="24"/>
        </w:rPr>
      </w:pPr>
    </w:p>
    <w:p w14:paraId="6064AB45" w14:textId="323E10C6" w:rsidR="00513D1D" w:rsidRDefault="00513D1D" w:rsidP="00513D1D">
      <w:pPr>
        <w:rPr>
          <w:sz w:val="24"/>
          <w:szCs w:val="24"/>
        </w:rPr>
      </w:pPr>
      <w:r w:rsidRPr="00513D1D">
        <w:rPr>
          <w:sz w:val="24"/>
          <w:szCs w:val="24"/>
        </w:rPr>
        <w:drawing>
          <wp:inline distT="0" distB="0" distL="0" distR="0" wp14:anchorId="12165326" wp14:editId="2630BCC8">
            <wp:extent cx="5113020" cy="1159012"/>
            <wp:effectExtent l="0" t="0" r="0" b="3175"/>
            <wp:docPr id="154900438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04387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554" cy="116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6D1E" w14:textId="77777777" w:rsidR="00513D1D" w:rsidRDefault="00513D1D" w:rsidP="00513D1D">
      <w:pPr>
        <w:rPr>
          <w:sz w:val="24"/>
          <w:szCs w:val="24"/>
        </w:rPr>
      </w:pPr>
    </w:p>
    <w:p w14:paraId="0C9EBB3A" w14:textId="238BEB28" w:rsidR="003D47FA" w:rsidRDefault="003D47FA" w:rsidP="003D47FA">
      <w:pPr>
        <w:rPr>
          <w:sz w:val="24"/>
          <w:szCs w:val="24"/>
        </w:rPr>
      </w:pPr>
      <w:r w:rsidRPr="003D47FA">
        <w:rPr>
          <w:sz w:val="24"/>
          <w:szCs w:val="24"/>
        </w:rPr>
        <w:t>Box plots depicting engagement metrics—hand raises, discussion participation, resource views, and announcement views—reveal a clear trend. High-level students consistently exhibit superior engagement, while medium-level students demonstrate moderate engagement, and low-level students show comparatively lower involvement. These findings underscore a positive correlation between academic level and platform engagement, suggesting opportunities for targeted interventions to enhance participation among medium and low-level students.</w:t>
      </w:r>
    </w:p>
    <w:p w14:paraId="53CCD37C" w14:textId="4F246362" w:rsidR="00513D1D" w:rsidRDefault="00513D1D" w:rsidP="00513D1D">
      <w:pPr>
        <w:jc w:val="center"/>
        <w:rPr>
          <w:sz w:val="24"/>
          <w:szCs w:val="24"/>
        </w:rPr>
      </w:pPr>
      <w:r w:rsidRPr="00513D1D">
        <w:rPr>
          <w:sz w:val="24"/>
          <w:szCs w:val="24"/>
        </w:rPr>
        <w:lastRenderedPageBreak/>
        <w:drawing>
          <wp:inline distT="0" distB="0" distL="0" distR="0" wp14:anchorId="42058EFA" wp14:editId="7CD20F80">
            <wp:extent cx="6418580" cy="2110608"/>
            <wp:effectExtent l="0" t="0" r="1270" b="4445"/>
            <wp:docPr id="1600520094" name="Picture 1" descr="A diagram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20094" name="Picture 1" descr="A diagram of different colored squar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4994" cy="21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01D4" w14:textId="5119FD5A" w:rsidR="003D47FA" w:rsidRDefault="003D47FA" w:rsidP="003D47F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4F4F966" w14:textId="774DE8D6" w:rsidR="00513D1D" w:rsidRDefault="00513D1D" w:rsidP="00513D1D">
      <w:pPr>
        <w:rPr>
          <w:sz w:val="24"/>
          <w:szCs w:val="24"/>
        </w:rPr>
      </w:pPr>
      <w:r w:rsidRPr="00513D1D">
        <w:rPr>
          <w:sz w:val="24"/>
          <w:szCs w:val="24"/>
        </w:rPr>
        <w:drawing>
          <wp:inline distT="0" distB="0" distL="0" distR="0" wp14:anchorId="02EA5D8C" wp14:editId="78022559">
            <wp:extent cx="5731510" cy="965835"/>
            <wp:effectExtent l="0" t="0" r="2540" b="5715"/>
            <wp:docPr id="206862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25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68C8" w14:textId="77777777" w:rsidR="003D47FA" w:rsidRDefault="003D47FA" w:rsidP="00513D1D">
      <w:pPr>
        <w:rPr>
          <w:sz w:val="24"/>
          <w:szCs w:val="24"/>
        </w:rPr>
      </w:pPr>
    </w:p>
    <w:p w14:paraId="785960A3" w14:textId="6DDEB19D" w:rsidR="003D47FA" w:rsidRPr="003D47FA" w:rsidRDefault="003D47FA" w:rsidP="003D47FA">
      <w:pPr>
        <w:rPr>
          <w:sz w:val="24"/>
          <w:szCs w:val="24"/>
        </w:rPr>
      </w:pPr>
      <w:r w:rsidRPr="003D47FA">
        <w:rPr>
          <w:sz w:val="24"/>
          <w:szCs w:val="24"/>
        </w:rPr>
        <w:t>High Positive Correlations:</w:t>
      </w:r>
    </w:p>
    <w:p w14:paraId="17DD4D32" w14:textId="77777777" w:rsidR="003D47FA" w:rsidRPr="003D47FA" w:rsidRDefault="003D47FA" w:rsidP="003D47FA">
      <w:pPr>
        <w:rPr>
          <w:sz w:val="24"/>
          <w:szCs w:val="24"/>
        </w:rPr>
      </w:pPr>
      <w:r w:rsidRPr="003D47FA">
        <w:rPr>
          <w:sz w:val="24"/>
          <w:szCs w:val="24"/>
        </w:rPr>
        <w:t>Raised Hands and Visited Resources: A strong positive correlation of approximately 0.69 indicates that students who frequently raise their hands also tend to visit resources actively.</w:t>
      </w:r>
    </w:p>
    <w:p w14:paraId="1FE733EF" w14:textId="77777777" w:rsidR="003D47FA" w:rsidRDefault="003D47FA" w:rsidP="003D47FA">
      <w:pPr>
        <w:rPr>
          <w:sz w:val="24"/>
          <w:szCs w:val="24"/>
        </w:rPr>
      </w:pPr>
      <w:r w:rsidRPr="003D47FA">
        <w:rPr>
          <w:sz w:val="24"/>
          <w:szCs w:val="24"/>
        </w:rPr>
        <w:t xml:space="preserve">Announcements View and </w:t>
      </w:r>
      <w:proofErr w:type="gramStart"/>
      <w:r w:rsidRPr="003D47FA">
        <w:rPr>
          <w:sz w:val="24"/>
          <w:szCs w:val="24"/>
        </w:rPr>
        <w:t>Visited</w:t>
      </w:r>
      <w:proofErr w:type="gramEnd"/>
      <w:r w:rsidRPr="003D47FA">
        <w:rPr>
          <w:sz w:val="24"/>
          <w:szCs w:val="24"/>
        </w:rPr>
        <w:t xml:space="preserve"> Resources: With a correlation of around 0.59, students who actively view announcements also tend to engage with educational resources.</w:t>
      </w:r>
    </w:p>
    <w:p w14:paraId="05160721" w14:textId="77777777" w:rsidR="003D47FA" w:rsidRPr="003D47FA" w:rsidRDefault="003D47FA" w:rsidP="003D47FA">
      <w:pPr>
        <w:rPr>
          <w:sz w:val="24"/>
          <w:szCs w:val="24"/>
        </w:rPr>
      </w:pPr>
    </w:p>
    <w:p w14:paraId="7B476614" w14:textId="1350B512" w:rsidR="003D47FA" w:rsidRPr="003D47FA" w:rsidRDefault="003D47FA" w:rsidP="003D47FA">
      <w:pPr>
        <w:rPr>
          <w:sz w:val="24"/>
          <w:szCs w:val="24"/>
        </w:rPr>
      </w:pPr>
      <w:r w:rsidRPr="003D47FA">
        <w:rPr>
          <w:sz w:val="24"/>
          <w:szCs w:val="24"/>
        </w:rPr>
        <w:t>Moderate Positive Correlations:</w:t>
      </w:r>
    </w:p>
    <w:p w14:paraId="7D2409F1" w14:textId="77777777" w:rsidR="003D47FA" w:rsidRPr="003D47FA" w:rsidRDefault="003D47FA" w:rsidP="003D47FA">
      <w:pPr>
        <w:rPr>
          <w:sz w:val="24"/>
          <w:szCs w:val="24"/>
        </w:rPr>
      </w:pPr>
      <w:r w:rsidRPr="003D47FA">
        <w:rPr>
          <w:sz w:val="24"/>
          <w:szCs w:val="24"/>
        </w:rPr>
        <w:t>Announcements View and Discussion: A positive correlation of approximately 0.42 suggests a moderate association between students who view announcements and actively participate in discussions.</w:t>
      </w:r>
    </w:p>
    <w:p w14:paraId="6A9E6C57" w14:textId="77777777" w:rsidR="003D47FA" w:rsidRDefault="003D47FA" w:rsidP="003D47FA">
      <w:pPr>
        <w:rPr>
          <w:sz w:val="24"/>
          <w:szCs w:val="24"/>
        </w:rPr>
      </w:pPr>
      <w:r w:rsidRPr="003D47FA">
        <w:rPr>
          <w:sz w:val="24"/>
          <w:szCs w:val="24"/>
        </w:rPr>
        <w:t>Raised Hands and Discussion: A moderate positive correlation of about 0.34 indicates that students who frequently raise their hands are also likely to participate in discussions.</w:t>
      </w:r>
    </w:p>
    <w:p w14:paraId="39F75BC5" w14:textId="77777777" w:rsidR="003D47FA" w:rsidRPr="003D47FA" w:rsidRDefault="003D47FA" w:rsidP="003D47FA">
      <w:pPr>
        <w:rPr>
          <w:sz w:val="24"/>
          <w:szCs w:val="24"/>
        </w:rPr>
      </w:pPr>
    </w:p>
    <w:p w14:paraId="114F654A" w14:textId="391C1E55" w:rsidR="003D47FA" w:rsidRPr="003D47FA" w:rsidRDefault="003D47FA" w:rsidP="003D47FA">
      <w:pPr>
        <w:rPr>
          <w:sz w:val="24"/>
          <w:szCs w:val="24"/>
        </w:rPr>
      </w:pPr>
      <w:r w:rsidRPr="003D47FA">
        <w:rPr>
          <w:sz w:val="24"/>
          <w:szCs w:val="24"/>
        </w:rPr>
        <w:t>Negative Correlations:</w:t>
      </w:r>
    </w:p>
    <w:p w14:paraId="2DED7537" w14:textId="77777777" w:rsidR="003D47FA" w:rsidRDefault="003D47FA" w:rsidP="003D47FA">
      <w:pPr>
        <w:rPr>
          <w:sz w:val="24"/>
          <w:szCs w:val="24"/>
        </w:rPr>
      </w:pPr>
      <w:r w:rsidRPr="003D47FA">
        <w:rPr>
          <w:sz w:val="24"/>
          <w:szCs w:val="24"/>
        </w:rPr>
        <w:t>Gender and Various Metrics: The negative correlation values for '</w:t>
      </w:r>
      <w:proofErr w:type="spellStart"/>
      <w:r w:rsidRPr="003D47FA">
        <w:rPr>
          <w:sz w:val="24"/>
          <w:szCs w:val="24"/>
        </w:rPr>
        <w:t>gender_M</w:t>
      </w:r>
      <w:proofErr w:type="spellEnd"/>
      <w:r w:rsidRPr="003D47FA">
        <w:rPr>
          <w:sz w:val="24"/>
          <w:szCs w:val="24"/>
        </w:rPr>
        <w:t xml:space="preserve">' with raised hands, visited resources, </w:t>
      </w:r>
      <w:proofErr w:type="gramStart"/>
      <w:r w:rsidRPr="003D47FA">
        <w:rPr>
          <w:sz w:val="24"/>
          <w:szCs w:val="24"/>
        </w:rPr>
        <w:t>announcements</w:t>
      </w:r>
      <w:proofErr w:type="gramEnd"/>
      <w:r w:rsidRPr="003D47FA">
        <w:rPr>
          <w:sz w:val="24"/>
          <w:szCs w:val="24"/>
        </w:rPr>
        <w:t xml:space="preserve"> view, and discussion imply some differences in engagement between male (M) and female (F) students, with males showing slightly lower engagement.</w:t>
      </w:r>
    </w:p>
    <w:p w14:paraId="2742F7D1" w14:textId="77777777" w:rsidR="003D47FA" w:rsidRPr="003D47FA" w:rsidRDefault="003D47FA" w:rsidP="003D47FA">
      <w:pPr>
        <w:rPr>
          <w:sz w:val="24"/>
          <w:szCs w:val="24"/>
        </w:rPr>
      </w:pPr>
    </w:p>
    <w:p w14:paraId="3C736913" w14:textId="618854DA" w:rsidR="003D47FA" w:rsidRPr="003D47FA" w:rsidRDefault="003D47FA" w:rsidP="003D47FA">
      <w:pPr>
        <w:rPr>
          <w:sz w:val="24"/>
          <w:szCs w:val="24"/>
        </w:rPr>
      </w:pPr>
      <w:r w:rsidRPr="003D47FA">
        <w:rPr>
          <w:sz w:val="24"/>
          <w:szCs w:val="24"/>
        </w:rPr>
        <w:lastRenderedPageBreak/>
        <w:t>Categorical Features:</w:t>
      </w:r>
    </w:p>
    <w:p w14:paraId="3292D3C5" w14:textId="77777777" w:rsidR="003D47FA" w:rsidRPr="003D47FA" w:rsidRDefault="003D47FA" w:rsidP="003D47FA">
      <w:pPr>
        <w:rPr>
          <w:sz w:val="24"/>
          <w:szCs w:val="24"/>
        </w:rPr>
      </w:pPr>
      <w:r w:rsidRPr="003D47FA">
        <w:rPr>
          <w:sz w:val="24"/>
          <w:szCs w:val="24"/>
        </w:rPr>
        <w:t>Parental Engagement: Positive correlations are observed between various engagement metrics and features such as '</w:t>
      </w:r>
      <w:proofErr w:type="spellStart"/>
      <w:r w:rsidRPr="003D47FA">
        <w:rPr>
          <w:sz w:val="24"/>
          <w:szCs w:val="24"/>
        </w:rPr>
        <w:t>ParentAnsweringSurvey_Yes</w:t>
      </w:r>
      <w:proofErr w:type="spellEnd"/>
      <w:r w:rsidRPr="003D47FA">
        <w:rPr>
          <w:sz w:val="24"/>
          <w:szCs w:val="24"/>
        </w:rPr>
        <w:t>' and '</w:t>
      </w:r>
      <w:proofErr w:type="spellStart"/>
      <w:r w:rsidRPr="003D47FA">
        <w:rPr>
          <w:sz w:val="24"/>
          <w:szCs w:val="24"/>
        </w:rPr>
        <w:t>ParentschoolSatisfaction_Good</w:t>
      </w:r>
      <w:proofErr w:type="spellEnd"/>
      <w:r w:rsidRPr="003D47FA">
        <w:rPr>
          <w:sz w:val="24"/>
          <w:szCs w:val="24"/>
        </w:rPr>
        <w:t>.'</w:t>
      </w:r>
    </w:p>
    <w:p w14:paraId="7F1140A2" w14:textId="45D30C8D" w:rsidR="003D47FA" w:rsidRDefault="003D47FA" w:rsidP="003D47FA">
      <w:pPr>
        <w:rPr>
          <w:sz w:val="24"/>
          <w:szCs w:val="24"/>
        </w:rPr>
      </w:pPr>
      <w:r w:rsidRPr="003D47FA">
        <w:rPr>
          <w:sz w:val="24"/>
          <w:szCs w:val="24"/>
        </w:rPr>
        <w:t>Student Absence Days: The metric 'StudentAbsenceDays_Under-7' positively correlates with various engagement metrics, suggesting that students with fewer absence days tend to be more engaged.</w:t>
      </w:r>
    </w:p>
    <w:p w14:paraId="449F50A7" w14:textId="6D194FA4" w:rsidR="00513D1D" w:rsidRDefault="00513D1D" w:rsidP="00513D1D">
      <w:pPr>
        <w:jc w:val="center"/>
        <w:rPr>
          <w:sz w:val="24"/>
          <w:szCs w:val="24"/>
        </w:rPr>
      </w:pPr>
      <w:r w:rsidRPr="00513D1D">
        <w:rPr>
          <w:sz w:val="24"/>
          <w:szCs w:val="24"/>
        </w:rPr>
        <w:drawing>
          <wp:inline distT="0" distB="0" distL="0" distR="0" wp14:anchorId="3D90C9E0" wp14:editId="7622BBA7">
            <wp:extent cx="6347460" cy="6622428"/>
            <wp:effectExtent l="0" t="0" r="0" b="6985"/>
            <wp:docPr id="193604960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49609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543" cy="66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5BBB" w14:textId="77777777" w:rsidR="003D47FA" w:rsidRDefault="003D47FA" w:rsidP="003D47FA">
      <w:pPr>
        <w:rPr>
          <w:sz w:val="24"/>
          <w:szCs w:val="24"/>
        </w:rPr>
      </w:pPr>
    </w:p>
    <w:p w14:paraId="6869DAC5" w14:textId="3B3292F9" w:rsidR="003D47FA" w:rsidRDefault="003D47FA" w:rsidP="003D47FA">
      <w:pPr>
        <w:rPr>
          <w:b/>
          <w:bCs/>
          <w:sz w:val="28"/>
          <w:szCs w:val="28"/>
          <w:u w:val="single"/>
        </w:rPr>
      </w:pPr>
      <w:r w:rsidRPr="003D47FA">
        <w:rPr>
          <w:b/>
          <w:bCs/>
          <w:sz w:val="28"/>
          <w:szCs w:val="28"/>
          <w:u w:val="single"/>
        </w:rPr>
        <w:lastRenderedPageBreak/>
        <w:t>Key Performance Indicators</w:t>
      </w:r>
    </w:p>
    <w:p w14:paraId="01F5AEEF" w14:textId="45FBA1F5" w:rsidR="0083026F" w:rsidRPr="0083026F" w:rsidRDefault="0083026F" w:rsidP="00830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026F">
        <w:rPr>
          <w:sz w:val="24"/>
          <w:szCs w:val="24"/>
        </w:rPr>
        <w:t>Class</w:t>
      </w:r>
    </w:p>
    <w:p w14:paraId="4EEBA5E2" w14:textId="681B7F76" w:rsidR="003D47FA" w:rsidRDefault="0083026F" w:rsidP="008302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3026F">
        <w:rPr>
          <w:sz w:val="24"/>
          <w:szCs w:val="24"/>
        </w:rPr>
        <w:t>R</w:t>
      </w:r>
      <w:r w:rsidRPr="0083026F">
        <w:rPr>
          <w:sz w:val="24"/>
          <w:szCs w:val="24"/>
        </w:rPr>
        <w:t>aisedhands</w:t>
      </w:r>
      <w:proofErr w:type="spellEnd"/>
    </w:p>
    <w:p w14:paraId="60608D86" w14:textId="2ADDCBFD" w:rsidR="0083026F" w:rsidRDefault="0083026F" w:rsidP="008302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3026F">
        <w:rPr>
          <w:sz w:val="24"/>
          <w:szCs w:val="24"/>
        </w:rPr>
        <w:t>VisITedResources</w:t>
      </w:r>
      <w:proofErr w:type="spellEnd"/>
    </w:p>
    <w:p w14:paraId="5C8AEB3B" w14:textId="2C373A24" w:rsidR="0083026F" w:rsidRDefault="0083026F" w:rsidP="008302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3026F">
        <w:rPr>
          <w:sz w:val="24"/>
          <w:szCs w:val="24"/>
        </w:rPr>
        <w:t>AnnouncementsView</w:t>
      </w:r>
      <w:proofErr w:type="spellEnd"/>
    </w:p>
    <w:p w14:paraId="6969B695" w14:textId="2540F095" w:rsidR="0083026F" w:rsidRDefault="0083026F" w:rsidP="00830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026F">
        <w:rPr>
          <w:sz w:val="24"/>
          <w:szCs w:val="24"/>
        </w:rPr>
        <w:t>Discussion</w:t>
      </w:r>
    </w:p>
    <w:p w14:paraId="6BCBFEB4" w14:textId="3F78D098" w:rsidR="0083026F" w:rsidRDefault="0083026F" w:rsidP="008302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3026F">
        <w:rPr>
          <w:sz w:val="24"/>
          <w:szCs w:val="24"/>
        </w:rPr>
        <w:t>StageID</w:t>
      </w:r>
      <w:proofErr w:type="spellEnd"/>
    </w:p>
    <w:p w14:paraId="7893FB25" w14:textId="5D0CFEBC" w:rsidR="0083026F" w:rsidRDefault="0083026F" w:rsidP="00830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026F">
        <w:rPr>
          <w:sz w:val="24"/>
          <w:szCs w:val="24"/>
        </w:rPr>
        <w:t>Semester</w:t>
      </w:r>
    </w:p>
    <w:p w14:paraId="3B0F0FF0" w14:textId="13391615" w:rsidR="0083026F" w:rsidRDefault="0083026F" w:rsidP="00830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026F">
        <w:rPr>
          <w:sz w:val="24"/>
          <w:szCs w:val="24"/>
        </w:rPr>
        <w:t>Topic</w:t>
      </w:r>
    </w:p>
    <w:p w14:paraId="72AB665F" w14:textId="00252C8C" w:rsidR="0083026F" w:rsidRDefault="0083026F" w:rsidP="008302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3026F">
        <w:rPr>
          <w:sz w:val="24"/>
          <w:szCs w:val="24"/>
        </w:rPr>
        <w:t>ParentAnsweringSurvey</w:t>
      </w:r>
      <w:proofErr w:type="spellEnd"/>
    </w:p>
    <w:p w14:paraId="71ABE984" w14:textId="153C32DA" w:rsidR="0083026F" w:rsidRDefault="0083026F" w:rsidP="008302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3026F">
        <w:rPr>
          <w:sz w:val="24"/>
          <w:szCs w:val="24"/>
        </w:rPr>
        <w:t>StudentAbsenceDays</w:t>
      </w:r>
      <w:proofErr w:type="spellEnd"/>
    </w:p>
    <w:p w14:paraId="21EE1E38" w14:textId="347C7377" w:rsidR="0083026F" w:rsidRDefault="0083026F" w:rsidP="008302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3026F">
        <w:rPr>
          <w:sz w:val="24"/>
          <w:szCs w:val="24"/>
        </w:rPr>
        <w:t>ParentschoolSatisfaction</w:t>
      </w:r>
      <w:proofErr w:type="spellEnd"/>
    </w:p>
    <w:p w14:paraId="6FD81921" w14:textId="77777777" w:rsidR="0083026F" w:rsidRDefault="0083026F" w:rsidP="0083026F">
      <w:pPr>
        <w:pStyle w:val="ListParagraph"/>
        <w:rPr>
          <w:sz w:val="24"/>
          <w:szCs w:val="24"/>
        </w:rPr>
      </w:pPr>
    </w:p>
    <w:p w14:paraId="64F4F55F" w14:textId="429245C5" w:rsidR="0083026F" w:rsidRDefault="0083026F" w:rsidP="008302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Dashboard</w:t>
      </w:r>
    </w:p>
    <w:p w14:paraId="002D79EA" w14:textId="3BC9D5D4" w:rsidR="0083026F" w:rsidRPr="0083026F" w:rsidRDefault="0083026F" w:rsidP="0083026F">
      <w:pPr>
        <w:rPr>
          <w:b/>
          <w:bCs/>
          <w:sz w:val="28"/>
          <w:szCs w:val="28"/>
          <w:u w:val="single"/>
        </w:rPr>
      </w:pPr>
      <w:r w:rsidRPr="0083026F">
        <w:rPr>
          <w:b/>
          <w:bCs/>
          <w:sz w:val="28"/>
          <w:szCs w:val="28"/>
          <w:u w:val="single"/>
        </w:rPr>
        <w:drawing>
          <wp:inline distT="0" distB="0" distL="0" distR="0" wp14:anchorId="491D0879" wp14:editId="0A83CCEE">
            <wp:extent cx="6441211" cy="3642360"/>
            <wp:effectExtent l="0" t="0" r="0" b="0"/>
            <wp:docPr id="105434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45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443" cy="36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7F63" w14:textId="77777777" w:rsidR="0083026F" w:rsidRDefault="0083026F" w:rsidP="0083026F">
      <w:pPr>
        <w:rPr>
          <w:sz w:val="24"/>
          <w:szCs w:val="24"/>
        </w:rPr>
      </w:pPr>
    </w:p>
    <w:p w14:paraId="19AED6B1" w14:textId="02C9C2B7" w:rsidR="0083026F" w:rsidRDefault="0083026F" w:rsidP="0083026F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="004725B3" w:rsidRPr="004725B3">
        <w:rPr>
          <w:sz w:val="24"/>
          <w:szCs w:val="24"/>
        </w:rPr>
        <w:t>https://github.com/Farzinaayub/edplatform-engagement-analysis-.git</w:t>
      </w:r>
    </w:p>
    <w:p w14:paraId="205D1B55" w14:textId="7588F00A" w:rsidR="004725B3" w:rsidRPr="0083026F" w:rsidRDefault="004725B3" w:rsidP="0083026F">
      <w:pPr>
        <w:rPr>
          <w:sz w:val="24"/>
          <w:szCs w:val="24"/>
        </w:rPr>
      </w:pPr>
      <w:r>
        <w:rPr>
          <w:sz w:val="24"/>
          <w:szCs w:val="24"/>
        </w:rPr>
        <w:t>Prepared By: Farzeena P A</w:t>
      </w:r>
    </w:p>
    <w:sectPr w:rsidR="004725B3" w:rsidRPr="0083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68A1"/>
    <w:multiLevelType w:val="hybridMultilevel"/>
    <w:tmpl w:val="1BB8B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58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AD"/>
    <w:rsid w:val="00251DAD"/>
    <w:rsid w:val="003D47FA"/>
    <w:rsid w:val="004725B3"/>
    <w:rsid w:val="00513D1D"/>
    <w:rsid w:val="006969BE"/>
    <w:rsid w:val="00700C6E"/>
    <w:rsid w:val="0083026F"/>
    <w:rsid w:val="00FA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E7F51"/>
  <w15:chartTrackingRefBased/>
  <w15:docId w15:val="{EF7B54A0-8810-4722-AE5D-2B9DFEB8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803</Words>
  <Characters>5276</Characters>
  <Application>Microsoft Office Word</Application>
  <DocSecurity>0</DocSecurity>
  <Lines>119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Farzeena P A</dc:creator>
  <cp:keywords/>
  <dc:description/>
  <cp:lastModifiedBy>Farzeena P A</cp:lastModifiedBy>
  <cp:revision>1</cp:revision>
  <dcterms:created xsi:type="dcterms:W3CDTF">2023-12-18T14:48:00Z</dcterms:created>
  <dcterms:modified xsi:type="dcterms:W3CDTF">2023-12-18T15:40:00Z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b248272e-54ad-4d0d-b443-dfd4b84c1aa8</vt:lpwstr>
  </property>
</Properties>
</file>