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E00FB" w14:textId="121812E5" w:rsidR="00443CB7" w:rsidRPr="00AA5575" w:rsidRDefault="00CE0C22">
      <w:pPr>
        <w:rPr>
          <w:b/>
        </w:rPr>
      </w:pPr>
      <w:r>
        <w:rPr>
          <w:b/>
        </w:rPr>
        <w:t xml:space="preserve">Prescription Drug Spending </w:t>
      </w:r>
      <w:r w:rsidR="00C50A23">
        <w:rPr>
          <w:b/>
        </w:rPr>
        <w:t>is Consuming a Bigger Share of Wages</w:t>
      </w:r>
    </w:p>
    <w:p w14:paraId="6CE88C26" w14:textId="77777777" w:rsidR="006E2004" w:rsidRDefault="004F553E">
      <w:r>
        <w:t xml:space="preserve">Research on the cost of prescription drugs can be </w:t>
      </w:r>
      <w:r w:rsidR="000D45C9">
        <w:t xml:space="preserve">a </w:t>
      </w:r>
      <w:r w:rsidR="0023398D">
        <w:t>hard</w:t>
      </w:r>
      <w:r w:rsidR="000D45C9">
        <w:t xml:space="preserve"> pill to swallow</w:t>
      </w:r>
      <w:r>
        <w:t xml:space="preserve">. Economists, often with proprietary </w:t>
      </w:r>
      <w:bookmarkStart w:id="0" w:name="_GoBack"/>
      <w:bookmarkEnd w:id="0"/>
      <w:r>
        <w:t xml:space="preserve">data, cite massive </w:t>
      </w:r>
      <w:r w:rsidR="000D45C9">
        <w:t>dollar-value costs</w:t>
      </w:r>
      <w:r>
        <w:t xml:space="preserve"> for bringing a new drug to market</w:t>
      </w:r>
      <w:r w:rsidR="000D45C9">
        <w:t>, but this doesn’t tell us much about how much Americans pay for prescription drugs</w:t>
      </w:r>
      <w:r>
        <w:t xml:space="preserve">. </w:t>
      </w:r>
      <w:r w:rsidR="000D45C9">
        <w:t>We can get a better picture by looking at how prescription drug spending compares to wage income and median earnings.</w:t>
      </w:r>
    </w:p>
    <w:p w14:paraId="30558E62" w14:textId="77777777" w:rsidR="000D45C9" w:rsidRDefault="000D45C9">
      <w:r>
        <w:t xml:space="preserve">The </w:t>
      </w:r>
      <w:r>
        <w:t>Centers for Medicare &amp; Medicaid Services</w:t>
      </w:r>
      <w:r>
        <w:t xml:space="preserve"> produce projections of national expenditures on prescriptio</w:t>
      </w:r>
      <w:r w:rsidR="000537F2">
        <w:t>n drugs through 2025, along with historical estimates dating back to 1960.</w:t>
      </w:r>
      <w:r>
        <w:t xml:space="preserve"> </w:t>
      </w:r>
      <w:r w:rsidR="005B4DDE">
        <w:t>A shown below, prescription d</w:t>
      </w:r>
      <w:r>
        <w:t xml:space="preserve">rug spending </w:t>
      </w:r>
      <w:r w:rsidR="000537F2">
        <w:t xml:space="preserve">from 1960 to 1980 was equivalent to about one percent of total wage and salary income. In the years leading up to the passage of the Bayh-Dole act in 1980, the share of wages spent on prescription drugs was </w:t>
      </w:r>
      <w:proofErr w:type="gramStart"/>
      <w:r w:rsidR="000537F2">
        <w:t>actually falling</w:t>
      </w:r>
      <w:proofErr w:type="gramEnd"/>
      <w:r w:rsidR="000537F2">
        <w:t xml:space="preserve">, reaching a low in 1979 of 0.86%, as wage income was rising faster than spending on prescription drugs. </w:t>
      </w:r>
    </w:p>
    <w:p w14:paraId="5D4413C0" w14:textId="77777777" w:rsidR="00A26E08" w:rsidRDefault="00A26E08">
      <w:r>
        <w:rPr>
          <w:noProof/>
        </w:rPr>
        <w:drawing>
          <wp:inline distT="0" distB="0" distL="0" distR="0" wp14:anchorId="39FE02BD" wp14:editId="60BBDD6E">
            <wp:extent cx="5943600" cy="3325495"/>
            <wp:effectExtent l="0" t="0" r="0" b="8255"/>
            <wp:docPr id="1" name="Chart 1">
              <a:extLst xmlns:a="http://schemas.openxmlformats.org/drawingml/2006/main">
                <a:ext uri="{FF2B5EF4-FFF2-40B4-BE49-F238E27FC236}">
                  <a16:creationId xmlns:a16="http://schemas.microsoft.com/office/drawing/2014/main" id="{DFCC6AAA-6F60-43E0-A253-1B6E95A6CA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7B697E6" w14:textId="77777777" w:rsidR="000537F2" w:rsidRDefault="005B4DDE">
      <w:r>
        <w:t>However, after 1980, p</w:t>
      </w:r>
      <w:r w:rsidR="000537F2">
        <w:t xml:space="preserve">rescription drug spending’s share of total wage income </w:t>
      </w:r>
      <w:r>
        <w:t xml:space="preserve">took a turn for the worse, growing </w:t>
      </w:r>
      <w:r w:rsidR="00AA5575">
        <w:t>each</w:t>
      </w:r>
      <w:r>
        <w:t xml:space="preserve"> year from 1980 to 2007 (in 2007 </w:t>
      </w:r>
      <w:r w:rsidR="00AA5575">
        <w:t>wage growth finally outpaced drug expenditure</w:t>
      </w:r>
      <w:r>
        <w:t>s)</w:t>
      </w:r>
      <w:r w:rsidR="00AA5575">
        <w:t>. The Great Recession hit the next year, bringing down wage income while monopolies on prescription drug production, granted through patent protection</w:t>
      </w:r>
      <w:r w:rsidR="00331E05">
        <w:t>s</w:t>
      </w:r>
      <w:r w:rsidR="00AA5575">
        <w:t>, prevented market prices from fallin</w:t>
      </w:r>
      <w:r w:rsidR="00331E05">
        <w:t>g at the same rate. By</w:t>
      </w:r>
      <w:r w:rsidR="00AA5575">
        <w:t xml:space="preserve"> 2010</w:t>
      </w:r>
      <w:r w:rsidR="00331E05">
        <w:t xml:space="preserve">, the wage share of prescription drug spending had climbed above four percent. </w:t>
      </w:r>
    </w:p>
    <w:p w14:paraId="52EE22A7" w14:textId="77777777" w:rsidR="00331E05" w:rsidRDefault="00331E05">
      <w:r>
        <w:t xml:space="preserve">The three percent of annual wage income lost to higher drug spending over the past 40 years makes a big difference to working families saving for home purchases and education. </w:t>
      </w:r>
      <w:r w:rsidR="003F6656">
        <w:t>While it’s true that an aging population can inflate prescription drug spending relative to wages, by looking at consumer price index data and comparing prescription drug spending to median wages, we find that prescription drug prices</w:t>
      </w:r>
      <w:r w:rsidR="005B4DDE">
        <w:t>,</w:t>
      </w:r>
      <w:r w:rsidR="003F6656">
        <w:t xml:space="preserve"> rather than total spending</w:t>
      </w:r>
      <w:r w:rsidR="005B4DDE">
        <w:t>,</w:t>
      </w:r>
      <w:r w:rsidR="003F6656">
        <w:t xml:space="preserve"> can explain much of </w:t>
      </w:r>
      <w:r w:rsidR="005B4DDE">
        <w:t xml:space="preserve">the </w:t>
      </w:r>
      <w:r w:rsidR="003F6656">
        <w:t xml:space="preserve">wage income lost to pharmaceuticals. </w:t>
      </w:r>
    </w:p>
    <w:p w14:paraId="14B4412E" w14:textId="77777777" w:rsidR="003F6656" w:rsidRDefault="003F6656">
      <w:r>
        <w:t>From 1970 to the end of 1980, prescription drug prices increased at an average annual rate of 4.2 percent, compared with an all-item average annual inflation rate of 7.7 percent</w:t>
      </w:r>
      <w:r w:rsidR="005B4DDE">
        <w:t xml:space="preserve"> (</w:t>
      </w:r>
      <w:proofErr w:type="gramStart"/>
      <w:r w:rsidR="005B4DDE">
        <w:t>according to</w:t>
      </w:r>
      <w:proofErr w:type="gramEnd"/>
      <w:r w:rsidR="005B4DDE">
        <w:t xml:space="preserve"> price </w:t>
      </w:r>
      <w:r w:rsidR="005B4DDE">
        <w:lastRenderedPageBreak/>
        <w:t>estimates from the Bureau of Labor Statistics, see table below)</w:t>
      </w:r>
      <w:r>
        <w:t xml:space="preserve">. In fact, prescription drug prices only outpaced </w:t>
      </w:r>
      <w:r w:rsidR="00A26E08">
        <w:t xml:space="preserve">the all-items CPI during 14 of the 132 months </w:t>
      </w:r>
      <w:r w:rsidR="005B4DDE">
        <w:t>in this 11-year period</w:t>
      </w:r>
      <w:r w:rsidR="00A26E08">
        <w:t xml:space="preserve">. </w:t>
      </w:r>
      <w:r w:rsidR="005B4DDE">
        <w:t>However, s</w:t>
      </w:r>
      <w:r w:rsidR="00A26E08">
        <w:t xml:space="preserve">ince the start of 1981, prescription drug prices have increased at an annual rate of 5.6 percent, compared with just a three percent all-items inflation rate. Since 1981, drug prices have outpaced the CPI during 391 of the 444 months. </w:t>
      </w:r>
    </w:p>
    <w:tbl>
      <w:tblPr>
        <w:tblStyle w:val="TableGrid"/>
        <w:tblW w:w="0" w:type="auto"/>
        <w:tblLook w:val="04A0" w:firstRow="1" w:lastRow="0" w:firstColumn="1" w:lastColumn="0" w:noHBand="0" w:noVBand="1"/>
      </w:tblPr>
      <w:tblGrid>
        <w:gridCol w:w="1705"/>
        <w:gridCol w:w="2430"/>
        <w:gridCol w:w="1620"/>
      </w:tblGrid>
      <w:tr w:rsidR="00105AE3" w:rsidRPr="00105AE3" w14:paraId="1A2D40AD" w14:textId="77777777" w:rsidTr="00105AE3">
        <w:trPr>
          <w:trHeight w:val="312"/>
        </w:trPr>
        <w:tc>
          <w:tcPr>
            <w:tcW w:w="1705" w:type="dxa"/>
            <w:noWrap/>
            <w:hideMark/>
          </w:tcPr>
          <w:p w14:paraId="62353363" w14:textId="77777777" w:rsidR="00105AE3" w:rsidRPr="00105AE3" w:rsidRDefault="00105AE3"/>
        </w:tc>
        <w:tc>
          <w:tcPr>
            <w:tcW w:w="2430" w:type="dxa"/>
            <w:noWrap/>
            <w:hideMark/>
          </w:tcPr>
          <w:p w14:paraId="2E014737" w14:textId="77777777" w:rsidR="00105AE3" w:rsidRPr="00105AE3" w:rsidRDefault="00105AE3">
            <w:r w:rsidRPr="00105AE3">
              <w:t>Prescription Drug Prices</w:t>
            </w:r>
          </w:p>
        </w:tc>
        <w:tc>
          <w:tcPr>
            <w:tcW w:w="1620" w:type="dxa"/>
            <w:noWrap/>
            <w:hideMark/>
          </w:tcPr>
          <w:p w14:paraId="0215D231" w14:textId="77777777" w:rsidR="00105AE3" w:rsidRPr="00105AE3" w:rsidRDefault="00105AE3">
            <w:r w:rsidRPr="00105AE3">
              <w:t>All-items CPI</w:t>
            </w:r>
          </w:p>
        </w:tc>
      </w:tr>
      <w:tr w:rsidR="00105AE3" w:rsidRPr="00105AE3" w14:paraId="50B0209F" w14:textId="77777777" w:rsidTr="00105AE3">
        <w:trPr>
          <w:trHeight w:val="312"/>
        </w:trPr>
        <w:tc>
          <w:tcPr>
            <w:tcW w:w="1705" w:type="dxa"/>
            <w:noWrap/>
            <w:hideMark/>
          </w:tcPr>
          <w:p w14:paraId="5516DA08" w14:textId="77777777" w:rsidR="00105AE3" w:rsidRPr="00105AE3" w:rsidRDefault="00105AE3">
            <w:r w:rsidRPr="00105AE3">
              <w:t>1970--end-1980</w:t>
            </w:r>
          </w:p>
        </w:tc>
        <w:tc>
          <w:tcPr>
            <w:tcW w:w="2430" w:type="dxa"/>
            <w:noWrap/>
            <w:hideMark/>
          </w:tcPr>
          <w:p w14:paraId="68B743B0" w14:textId="77777777" w:rsidR="00105AE3" w:rsidRPr="00105AE3" w:rsidRDefault="00105AE3" w:rsidP="00105AE3">
            <w:r w:rsidRPr="00105AE3">
              <w:t>4.2</w:t>
            </w:r>
          </w:p>
        </w:tc>
        <w:tc>
          <w:tcPr>
            <w:tcW w:w="1620" w:type="dxa"/>
            <w:noWrap/>
            <w:hideMark/>
          </w:tcPr>
          <w:p w14:paraId="59ACAE86" w14:textId="77777777" w:rsidR="00105AE3" w:rsidRPr="00105AE3" w:rsidRDefault="00105AE3" w:rsidP="00105AE3">
            <w:r w:rsidRPr="00105AE3">
              <w:t>7.7</w:t>
            </w:r>
          </w:p>
        </w:tc>
      </w:tr>
      <w:tr w:rsidR="00105AE3" w:rsidRPr="00105AE3" w14:paraId="5147E317" w14:textId="77777777" w:rsidTr="00105AE3">
        <w:trPr>
          <w:trHeight w:val="288"/>
        </w:trPr>
        <w:tc>
          <w:tcPr>
            <w:tcW w:w="1705" w:type="dxa"/>
            <w:noWrap/>
            <w:hideMark/>
          </w:tcPr>
          <w:p w14:paraId="0FE05AB7" w14:textId="77777777" w:rsidR="00105AE3" w:rsidRPr="00105AE3" w:rsidRDefault="00105AE3">
            <w:r w:rsidRPr="00105AE3">
              <w:t>1981--Present</w:t>
            </w:r>
          </w:p>
        </w:tc>
        <w:tc>
          <w:tcPr>
            <w:tcW w:w="2430" w:type="dxa"/>
            <w:noWrap/>
            <w:hideMark/>
          </w:tcPr>
          <w:p w14:paraId="2D04E7FD" w14:textId="77777777" w:rsidR="00105AE3" w:rsidRPr="00105AE3" w:rsidRDefault="00105AE3" w:rsidP="00105AE3">
            <w:r w:rsidRPr="00105AE3">
              <w:t>5.6</w:t>
            </w:r>
          </w:p>
        </w:tc>
        <w:tc>
          <w:tcPr>
            <w:tcW w:w="1620" w:type="dxa"/>
            <w:noWrap/>
            <w:hideMark/>
          </w:tcPr>
          <w:p w14:paraId="30448FA8" w14:textId="77777777" w:rsidR="00105AE3" w:rsidRPr="00105AE3" w:rsidRDefault="00105AE3" w:rsidP="00105AE3">
            <w:r w:rsidRPr="00105AE3">
              <w:t>3.0</w:t>
            </w:r>
          </w:p>
        </w:tc>
      </w:tr>
    </w:tbl>
    <w:p w14:paraId="4DDFD900" w14:textId="77777777" w:rsidR="00105AE3" w:rsidRDefault="00105AE3"/>
    <w:p w14:paraId="1F94A134" w14:textId="77777777" w:rsidR="00A26E08" w:rsidRDefault="00A26E08">
      <w:r>
        <w:t xml:space="preserve">Another way to examine how prescription drug spending compares to wages is to look at per capita spending relative to the median wage. </w:t>
      </w:r>
      <w:r w:rsidR="005B4DDE">
        <w:t xml:space="preserve">This measure (see chart </w:t>
      </w:r>
      <w:commentRangeStart w:id="1"/>
      <w:r w:rsidR="005B4DDE">
        <w:t>below</w:t>
      </w:r>
      <w:commentRangeEnd w:id="1"/>
      <w:r w:rsidR="005B4DDE">
        <w:rPr>
          <w:rStyle w:val="CommentReference"/>
        </w:rPr>
        <w:commentReference w:id="1"/>
      </w:r>
      <w:r w:rsidR="005B4DDE">
        <w:t>)</w:t>
      </w:r>
      <w:r>
        <w:t xml:space="preserve"> follows a similar trend, increasing from less than 0.5 percent in 1979 to 2.5 percent in the estimate for 2017. </w:t>
      </w:r>
    </w:p>
    <w:p w14:paraId="23F91751" w14:textId="77777777" w:rsidR="00A26E08" w:rsidRDefault="00A26E08">
      <w:r>
        <w:rPr>
          <w:noProof/>
        </w:rPr>
        <w:drawing>
          <wp:inline distT="0" distB="0" distL="0" distR="0" wp14:anchorId="222ABDD3" wp14:editId="5CC0FA9A">
            <wp:extent cx="5943600" cy="3325495"/>
            <wp:effectExtent l="0" t="0" r="0" b="8255"/>
            <wp:docPr id="2" name="Chart 2">
              <a:extLst xmlns:a="http://schemas.openxmlformats.org/drawingml/2006/main">
                <a:ext uri="{FF2B5EF4-FFF2-40B4-BE49-F238E27FC236}">
                  <a16:creationId xmlns:a16="http://schemas.microsoft.com/office/drawing/2014/main" id="{A9F7B001-BB4E-4290-93C4-2695A62BFC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004695" w14:textId="77777777" w:rsidR="00AA355A" w:rsidRDefault="00105AE3">
      <w:proofErr w:type="gramStart"/>
      <w:r>
        <w:t>So</w:t>
      </w:r>
      <w:proofErr w:type="gramEnd"/>
      <w:r>
        <w:t xml:space="preserve"> what has driven prescription drug prices upward such that spending on this category of health care services has eaten away a large share of worker’s income? One starting place in answering this question is to examine the erosion of competition between firms due to patent protections. </w:t>
      </w:r>
      <w:r w:rsidR="00F95AF1">
        <w:t xml:space="preserve">Legislation, including the Bayh-Dole act have strengthened the ability of firms to collect monopoly rents on their pharmaceutical products. </w:t>
      </w:r>
      <w:r w:rsidR="009E042E">
        <w:t xml:space="preserve">Patent protections on prescription drugs are estimated to increase costs fivefold, relative to generic drugs without monopoly status. </w:t>
      </w:r>
      <w:r w:rsidR="00AA355A">
        <w:t xml:space="preserve">Even worse, there is evidence that the maze of legal protections on pharmaceutical research can </w:t>
      </w:r>
      <w:proofErr w:type="gramStart"/>
      <w:r w:rsidR="00AA355A">
        <w:t>actually inhibit</w:t>
      </w:r>
      <w:proofErr w:type="gramEnd"/>
      <w:r w:rsidR="00AA355A">
        <w:t xml:space="preserve"> the research process; small companies tend to stay away from research areas where the large players hold patents. </w:t>
      </w:r>
    </w:p>
    <w:p w14:paraId="73A098E5" w14:textId="77777777" w:rsidR="003F6656" w:rsidRDefault="00314F95">
      <w:r>
        <w:t>(Need more here</w:t>
      </w:r>
      <w:r w:rsidR="00AA355A">
        <w:t>, government-funded clinical trials? Citations?</w:t>
      </w:r>
      <w:r>
        <w:t>)</w:t>
      </w:r>
    </w:p>
    <w:p w14:paraId="73167011" w14:textId="77777777" w:rsidR="00AA355A" w:rsidRDefault="008D14F6">
      <w:r>
        <w:t xml:space="preserve">CMS projections, combined with projections on wage income growth from the Congressional Budget Office, suggest that the share of total and median wages devoted to prescription drugs will increase </w:t>
      </w:r>
      <w:r w:rsidR="0023398D">
        <w:lastRenderedPageBreak/>
        <w:t xml:space="preserve">further </w:t>
      </w:r>
      <w:r>
        <w:t xml:space="preserve">through 2025. The </w:t>
      </w:r>
      <w:r w:rsidR="009E042E">
        <w:t xml:space="preserve">share of wage income lost to </w:t>
      </w:r>
      <w:r>
        <w:t xml:space="preserve">prescription drug </w:t>
      </w:r>
      <w:r w:rsidR="009E042E">
        <w:t>spending</w:t>
      </w:r>
      <w:r>
        <w:t xml:space="preserve"> is </w:t>
      </w:r>
      <w:r w:rsidR="009E042E">
        <w:t>expected</w:t>
      </w:r>
      <w:r>
        <w:t xml:space="preserve"> to exceed five percent </w:t>
      </w:r>
      <w:r w:rsidR="009E042E">
        <w:t>by 2024, and reach 2.8 percent of the median wage.</w:t>
      </w:r>
      <w:r w:rsidR="00AA355A">
        <w:t xml:space="preserve"> </w:t>
      </w:r>
    </w:p>
    <w:p w14:paraId="3ED62527" w14:textId="77777777" w:rsidR="00314F95" w:rsidRDefault="00AA355A">
      <w:r>
        <w:t>The dire prognosis around prescription drug expenditures would be fully reversed if patent protections were removed. If all prescription drugs were generics without market exclusivity, cutting prices to 1/5</w:t>
      </w:r>
      <w:r w:rsidRPr="00AA355A">
        <w:rPr>
          <w:vertAlign w:val="superscript"/>
        </w:rPr>
        <w:t>th</w:t>
      </w:r>
      <w:r>
        <w:t xml:space="preserve"> the current level, spending as a share of wage income would return to its pre-1980 levels. </w:t>
      </w:r>
      <w:r w:rsidR="005B4DDE">
        <w:t>The result would be a big boost to the average worker’s financial health.</w:t>
      </w:r>
    </w:p>
    <w:p w14:paraId="385C0F14" w14:textId="1AF2BCC1" w:rsidR="004F553E" w:rsidRDefault="004F553E"/>
    <w:p w14:paraId="6A8A6D3B" w14:textId="77777777" w:rsidR="005B5EAD" w:rsidRDefault="005B5EAD">
      <w:r>
        <w:t xml:space="preserve">Notes: </w:t>
      </w:r>
    </w:p>
    <w:p w14:paraId="6D3FF627" w14:textId="668FBC80" w:rsidR="005B5EAD" w:rsidRDefault="005B5EAD">
      <w:r>
        <w:t xml:space="preserve">I can include spending on doctors or that could be a separate post. </w:t>
      </w:r>
    </w:p>
    <w:p w14:paraId="5C2FE4A3" w14:textId="4767865E" w:rsidR="005B5EAD" w:rsidRDefault="00CE0C22">
      <w:r>
        <w:t xml:space="preserve">I’m still feeling out the writing style here, so the health-related idioms can </w:t>
      </w:r>
      <w:proofErr w:type="gramStart"/>
      <w:r>
        <w:t>definitely be</w:t>
      </w:r>
      <w:proofErr w:type="gramEnd"/>
      <w:r>
        <w:t xml:space="preserve"> removed!</w:t>
      </w:r>
      <w:r w:rsidR="00C50A23">
        <w:t xml:space="preserve"> If I’m also way off in general, please let me know.</w:t>
      </w:r>
    </w:p>
    <w:p w14:paraId="43645417" w14:textId="1D75127E" w:rsidR="005B5EAD" w:rsidRDefault="00CE0C22">
      <w:r>
        <w:t>I can add a table summarizing Rx spending share of total wage income by decade.</w:t>
      </w:r>
    </w:p>
    <w:p w14:paraId="3EBB37CD" w14:textId="77777777" w:rsidR="004F553E" w:rsidRDefault="004F553E"/>
    <w:p w14:paraId="2F587C87" w14:textId="2CA3975E" w:rsidR="006E2004" w:rsidRDefault="004F553E">
      <w:r>
        <w:t xml:space="preserve">Links to </w:t>
      </w:r>
      <w:r w:rsidR="005B5EAD">
        <w:t xml:space="preserve">Data </w:t>
      </w:r>
      <w:r>
        <w:t>Sources:</w:t>
      </w:r>
    </w:p>
    <w:p w14:paraId="70AE24B3" w14:textId="77777777" w:rsidR="006E2004" w:rsidRDefault="006E2004">
      <w:r>
        <w:t xml:space="preserve">Wages </w:t>
      </w:r>
      <w:r w:rsidR="0023398D">
        <w:t>projections</w:t>
      </w:r>
      <w:r>
        <w:t xml:space="preserve">: </w:t>
      </w:r>
      <w:hyperlink r:id="rId8" w:anchor="4" w:history="1">
        <w:r w:rsidRPr="006E615E">
          <w:rPr>
            <w:rStyle w:val="Hyperlink"/>
          </w:rPr>
          <w:t>https://www</w:t>
        </w:r>
        <w:r w:rsidRPr="006E615E">
          <w:rPr>
            <w:rStyle w:val="Hyperlink"/>
          </w:rPr>
          <w:t>.cbo.gov/about/products/budget-economic-data#4</w:t>
        </w:r>
      </w:hyperlink>
    </w:p>
    <w:p w14:paraId="63C2E92D" w14:textId="77777777" w:rsidR="00EC6BCA" w:rsidRDefault="0023398D" w:rsidP="0023398D">
      <w:r w:rsidRPr="0023398D">
        <w:t xml:space="preserve">Median wage: </w:t>
      </w:r>
      <w:r w:rsidR="00EC6BCA" w:rsidRPr="0023398D">
        <w:t>(Seas)- Median usual weekly earnings (second quartile), Employed full time, Wage and salary workers</w:t>
      </w:r>
      <w:r w:rsidRPr="0023398D">
        <w:t xml:space="preserve"> Age 16+</w:t>
      </w:r>
      <w:r>
        <w:t xml:space="preserve"> </w:t>
      </w:r>
      <w:hyperlink r:id="rId9" w:history="1">
        <w:r w:rsidRPr="000B29D3">
          <w:rPr>
            <w:rStyle w:val="Hyperlink"/>
          </w:rPr>
          <w:t>https://data.bls.gov/timeseries/LES1252881500</w:t>
        </w:r>
      </w:hyperlink>
    </w:p>
    <w:p w14:paraId="477850D1" w14:textId="77777777" w:rsidR="006E2004" w:rsidRDefault="00EC6BCA">
      <w:r>
        <w:t>NIPA 1.12 Compensation of Employees: Wages and Salaries</w:t>
      </w:r>
    </w:p>
    <w:p w14:paraId="6DC14A39" w14:textId="77777777" w:rsidR="0023398D" w:rsidRDefault="0023398D">
      <w:r>
        <w:t xml:space="preserve">CMS NHE and Historical Projections 1960—2025 </w:t>
      </w:r>
      <w:hyperlink r:id="rId10" w:history="1">
        <w:r w:rsidRPr="000B29D3">
          <w:rPr>
            <w:rStyle w:val="Hyperlink"/>
          </w:rPr>
          <w:t>https://www.cms.gov/research-statistics-data-and-systems/statistics-trends-and-reports/nationalhealthexpenddata/nationalhealthaccountsprojected.html</w:t>
        </w:r>
      </w:hyperlink>
    </w:p>
    <w:p w14:paraId="2B4966EB" w14:textId="224896C1" w:rsidR="0023398D" w:rsidRDefault="00CE0C22">
      <w:r>
        <w:t xml:space="preserve">Prescription drug component of CPI-U: </w:t>
      </w:r>
      <w:hyperlink r:id="rId11" w:history="1">
        <w:r w:rsidRPr="000B29D3">
          <w:rPr>
            <w:rStyle w:val="Hyperlink"/>
          </w:rPr>
          <w:t>https://data.bls.gov/timeseries/CUSR0000SEMF01</w:t>
        </w:r>
      </w:hyperlink>
    </w:p>
    <w:p w14:paraId="13DFACCA" w14:textId="3D5AD0FD" w:rsidR="00CE0C22" w:rsidRDefault="00CE0C22">
      <w:r>
        <w:t xml:space="preserve">I just used the CPI-U in price data 1970-onward for simplicity and ease of comparison. Happy to use CPI-U-X1 for 1970-Nov 1977 and the CPI-U-RS for Dec 1977- Nov 1999, if you prefer. </w:t>
      </w:r>
    </w:p>
    <w:sectPr w:rsidR="00CE0C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rian Dew" w:date="2017-06-13T17:10:00Z" w:initials="BD">
    <w:p w14:paraId="13BEEB79" w14:textId="77777777" w:rsidR="005B4DDE" w:rsidRDefault="005B4DDE">
      <w:pPr>
        <w:pStyle w:val="CommentText"/>
      </w:pPr>
      <w:r>
        <w:rPr>
          <w:rStyle w:val="CommentReference"/>
        </w:rPr>
        <w:annotationRef/>
      </w:r>
      <w:r>
        <w:t>Should I label figure 1, table 1, figure 2 and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BEEB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Dew">
    <w15:presenceInfo w15:providerId="Windows Live" w15:userId="f16b9a6dc04b0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004"/>
    <w:rsid w:val="000537F2"/>
    <w:rsid w:val="000D45C9"/>
    <w:rsid w:val="00105AE3"/>
    <w:rsid w:val="0023398D"/>
    <w:rsid w:val="00314F95"/>
    <w:rsid w:val="00331E05"/>
    <w:rsid w:val="003F6656"/>
    <w:rsid w:val="00443CB7"/>
    <w:rsid w:val="004F553E"/>
    <w:rsid w:val="005B4DDE"/>
    <w:rsid w:val="005B5EAD"/>
    <w:rsid w:val="006E2004"/>
    <w:rsid w:val="00771B22"/>
    <w:rsid w:val="008D14F6"/>
    <w:rsid w:val="009E042E"/>
    <w:rsid w:val="00A26E08"/>
    <w:rsid w:val="00AA355A"/>
    <w:rsid w:val="00AA5575"/>
    <w:rsid w:val="00C50A23"/>
    <w:rsid w:val="00CE0C22"/>
    <w:rsid w:val="00EC6BCA"/>
    <w:rsid w:val="00F9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BCC3"/>
  <w15:chartTrackingRefBased/>
  <w15:docId w15:val="{0E3C47A6-0095-4B8F-9464-602B1E05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004"/>
    <w:rPr>
      <w:color w:val="0563C1" w:themeColor="hyperlink"/>
      <w:u w:val="single"/>
    </w:rPr>
  </w:style>
  <w:style w:type="paragraph" w:styleId="HTMLPreformatted">
    <w:name w:val="HTML Preformatted"/>
    <w:basedOn w:val="Normal"/>
    <w:link w:val="HTMLPreformattedChar"/>
    <w:uiPriority w:val="99"/>
    <w:semiHidden/>
    <w:unhideWhenUsed/>
    <w:rsid w:val="00EC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BCA"/>
    <w:rPr>
      <w:rFonts w:ascii="Courier New" w:eastAsia="Times New Roman" w:hAnsi="Courier New" w:cs="Courier New"/>
      <w:sz w:val="20"/>
      <w:szCs w:val="20"/>
    </w:rPr>
  </w:style>
  <w:style w:type="character" w:styleId="Strong">
    <w:name w:val="Strong"/>
    <w:basedOn w:val="DefaultParagraphFont"/>
    <w:uiPriority w:val="22"/>
    <w:qFormat/>
    <w:rsid w:val="00EC6BCA"/>
    <w:rPr>
      <w:b/>
      <w:bCs/>
    </w:rPr>
  </w:style>
  <w:style w:type="table" w:styleId="TableGrid">
    <w:name w:val="Table Grid"/>
    <w:basedOn w:val="TableNormal"/>
    <w:uiPriority w:val="39"/>
    <w:rsid w:val="0010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B4DDE"/>
    <w:rPr>
      <w:sz w:val="16"/>
      <w:szCs w:val="16"/>
    </w:rPr>
  </w:style>
  <w:style w:type="paragraph" w:styleId="CommentText">
    <w:name w:val="annotation text"/>
    <w:basedOn w:val="Normal"/>
    <w:link w:val="CommentTextChar"/>
    <w:uiPriority w:val="99"/>
    <w:semiHidden/>
    <w:unhideWhenUsed/>
    <w:rsid w:val="005B4DDE"/>
    <w:pPr>
      <w:spacing w:line="240" w:lineRule="auto"/>
    </w:pPr>
    <w:rPr>
      <w:sz w:val="20"/>
      <w:szCs w:val="20"/>
    </w:rPr>
  </w:style>
  <w:style w:type="character" w:customStyle="1" w:styleId="CommentTextChar">
    <w:name w:val="Comment Text Char"/>
    <w:basedOn w:val="DefaultParagraphFont"/>
    <w:link w:val="CommentText"/>
    <w:uiPriority w:val="99"/>
    <w:semiHidden/>
    <w:rsid w:val="005B4DDE"/>
    <w:rPr>
      <w:sz w:val="20"/>
      <w:szCs w:val="20"/>
    </w:rPr>
  </w:style>
  <w:style w:type="paragraph" w:styleId="CommentSubject">
    <w:name w:val="annotation subject"/>
    <w:basedOn w:val="CommentText"/>
    <w:next w:val="CommentText"/>
    <w:link w:val="CommentSubjectChar"/>
    <w:uiPriority w:val="99"/>
    <w:semiHidden/>
    <w:unhideWhenUsed/>
    <w:rsid w:val="005B4DDE"/>
    <w:rPr>
      <w:b/>
      <w:bCs/>
    </w:rPr>
  </w:style>
  <w:style w:type="character" w:customStyle="1" w:styleId="CommentSubjectChar">
    <w:name w:val="Comment Subject Char"/>
    <w:basedOn w:val="CommentTextChar"/>
    <w:link w:val="CommentSubject"/>
    <w:uiPriority w:val="99"/>
    <w:semiHidden/>
    <w:rsid w:val="005B4DDE"/>
    <w:rPr>
      <w:b/>
      <w:bCs/>
      <w:sz w:val="20"/>
      <w:szCs w:val="20"/>
    </w:rPr>
  </w:style>
  <w:style w:type="paragraph" w:styleId="BalloonText">
    <w:name w:val="Balloon Text"/>
    <w:basedOn w:val="Normal"/>
    <w:link w:val="BalloonTextChar"/>
    <w:uiPriority w:val="99"/>
    <w:semiHidden/>
    <w:unhideWhenUsed/>
    <w:rsid w:val="005B4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DDE"/>
    <w:rPr>
      <w:rFonts w:ascii="Segoe UI" w:hAnsi="Segoe UI" w:cs="Segoe UI"/>
      <w:sz w:val="18"/>
      <w:szCs w:val="18"/>
    </w:rPr>
  </w:style>
  <w:style w:type="character" w:styleId="FollowedHyperlink">
    <w:name w:val="FollowedHyperlink"/>
    <w:basedOn w:val="DefaultParagraphFont"/>
    <w:uiPriority w:val="99"/>
    <w:semiHidden/>
    <w:unhideWhenUsed/>
    <w:rsid w:val="002339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832778">
      <w:bodyDiv w:val="1"/>
      <w:marLeft w:val="0"/>
      <w:marRight w:val="0"/>
      <w:marTop w:val="0"/>
      <w:marBottom w:val="0"/>
      <w:divBdr>
        <w:top w:val="none" w:sz="0" w:space="0" w:color="auto"/>
        <w:left w:val="none" w:sz="0" w:space="0" w:color="auto"/>
        <w:bottom w:val="none" w:sz="0" w:space="0" w:color="auto"/>
        <w:right w:val="none" w:sz="0" w:space="0" w:color="auto"/>
      </w:divBdr>
    </w:div>
    <w:div w:id="893203208">
      <w:bodyDiv w:val="1"/>
      <w:marLeft w:val="0"/>
      <w:marRight w:val="0"/>
      <w:marTop w:val="0"/>
      <w:marBottom w:val="0"/>
      <w:divBdr>
        <w:top w:val="none" w:sz="0" w:space="0" w:color="auto"/>
        <w:left w:val="none" w:sz="0" w:space="0" w:color="auto"/>
        <w:bottom w:val="none" w:sz="0" w:space="0" w:color="auto"/>
        <w:right w:val="none" w:sz="0" w:space="0" w:color="auto"/>
      </w:divBdr>
    </w:div>
    <w:div w:id="1414813741">
      <w:bodyDiv w:val="1"/>
      <w:marLeft w:val="0"/>
      <w:marRight w:val="0"/>
      <w:marTop w:val="0"/>
      <w:marBottom w:val="0"/>
      <w:divBdr>
        <w:top w:val="none" w:sz="0" w:space="0" w:color="auto"/>
        <w:left w:val="none" w:sz="0" w:space="0" w:color="auto"/>
        <w:bottom w:val="none" w:sz="0" w:space="0" w:color="auto"/>
        <w:right w:val="none" w:sz="0" w:space="0" w:color="auto"/>
      </w:divBdr>
    </w:div>
    <w:div w:id="21225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o.gov/about/products/budget-economic-data"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data.bls.gov/timeseries/CUSR0000SEMF01" TargetMode="External"/><Relationship Id="rId5" Type="http://schemas.openxmlformats.org/officeDocument/2006/relationships/comments" Target="comments.xml"/><Relationship Id="rId10" Type="http://schemas.openxmlformats.org/officeDocument/2006/relationships/hyperlink" Target="https://www.cms.gov/research-statistics-data-and-systems/statistics-trends-and-reports/nationalhealthexpenddata/nationalhealthaccountsprojected.html" TargetMode="External"/><Relationship Id="rId4" Type="http://schemas.openxmlformats.org/officeDocument/2006/relationships/chart" Target="charts/chart1.xml"/><Relationship Id="rId9" Type="http://schemas.openxmlformats.org/officeDocument/2006/relationships/hyperlink" Target="https://data.bls.gov/timeseries/LES1252881500"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Working\Python\CEPR\CMS_Projections\Prescription_Drug_Spending_to_Wage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Working\Python\CEPR\CMS_Projections\Prescription_Drug_Spending_to_Wage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Total</a:t>
            </a:r>
            <a:r>
              <a:rPr lang="en-US" sz="1800" b="1" baseline="0"/>
              <a:t> p</a:t>
            </a:r>
            <a:r>
              <a:rPr lang="en-US" sz="1800" b="1"/>
              <a:t>rescription drug</a:t>
            </a:r>
            <a:r>
              <a:rPr lang="en-US" sz="1800" b="1" baseline="0"/>
              <a:t> expenditure as share of national wage income</a:t>
            </a:r>
          </a:p>
        </c:rich>
      </c:tx>
      <c:layout>
        <c:manualLayout>
          <c:xMode val="edge"/>
          <c:yMode val="edge"/>
          <c:x val="2.2941118209280433E-2"/>
          <c:y val="3.2407407407407406E-2"/>
        </c:manualLayout>
      </c:layout>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9655852275541034E-2"/>
          <c:y val="0.17873794490124983"/>
          <c:w val="0.7297465396424504"/>
          <c:h val="0.50256161341265426"/>
        </c:manualLayout>
      </c:layout>
      <c:lineChart>
        <c:grouping val="standard"/>
        <c:varyColors val="0"/>
        <c:ser>
          <c:idx val="3"/>
          <c:order val="0"/>
          <c:tx>
            <c:v>Historical</c:v>
          </c:tx>
          <c:spPr>
            <a:ln w="28575" cap="rnd">
              <a:solidFill>
                <a:schemeClr val="accent5"/>
              </a:solidFill>
              <a:round/>
            </a:ln>
            <a:effectLst/>
          </c:spPr>
          <c:marker>
            <c:symbol val="none"/>
          </c:marker>
          <c:cat>
            <c:strRef>
              <c:f>Data!$A$7:$A$72</c:f>
              <c:strCache>
                <c:ptCount val="66"/>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strCache>
            </c:strRef>
          </c:cat>
          <c:val>
            <c:numRef>
              <c:f>Data!$L$7:$L$63</c:f>
              <c:numCache>
                <c:formatCode>General</c:formatCode>
                <c:ptCount val="57"/>
                <c:pt idx="0">
                  <c:v>0.9805789666544521</c:v>
                </c:pt>
                <c:pt idx="1">
                  <c:v>0.96898395721925124</c:v>
                </c:pt>
                <c:pt idx="2">
                  <c:v>1.011690046760187</c:v>
                </c:pt>
                <c:pt idx="3">
                  <c:v>1.0031756113051762</c:v>
                </c:pt>
                <c:pt idx="4">
                  <c:v>0.9908229721728834</c:v>
                </c:pt>
                <c:pt idx="5">
                  <c:v>1.0211654755360087</c:v>
                </c:pt>
                <c:pt idx="6">
                  <c:v>0.99550337247064702</c:v>
                </c:pt>
                <c:pt idx="7">
                  <c:v>0.98531468531468536</c:v>
                </c:pt>
                <c:pt idx="8">
                  <c:v>1.0046610169491526</c:v>
                </c:pt>
                <c:pt idx="9">
                  <c:v>0.9934400926104574</c:v>
                </c:pt>
                <c:pt idx="10">
                  <c:v>0.9965554749818708</c:v>
                </c:pt>
                <c:pt idx="11">
                  <c:v>1.0054747647562019</c:v>
                </c:pt>
                <c:pt idx="12">
                  <c:v>0.98998121477770817</c:v>
                </c:pt>
                <c:pt idx="13">
                  <c:v>0.96176636568848761</c:v>
                </c:pt>
                <c:pt idx="14">
                  <c:v>0.96102550822219335</c:v>
                </c:pt>
                <c:pt idx="15">
                  <c:v>0.98821796759941094</c:v>
                </c:pt>
                <c:pt idx="16">
                  <c:v>0.96943425586306553</c:v>
                </c:pt>
                <c:pt idx="17">
                  <c:v>0.92496479581573121</c:v>
                </c:pt>
                <c:pt idx="18">
                  <c:v>0.88265215063358915</c:v>
                </c:pt>
                <c:pt idx="19">
                  <c:v>0.85725684193728546</c:v>
                </c:pt>
                <c:pt idx="20">
                  <c:v>0.87731178098150575</c:v>
                </c:pt>
                <c:pt idx="21">
                  <c:v>0.88646288209606983</c:v>
                </c:pt>
                <c:pt idx="22">
                  <c:v>0.94670866141732291</c:v>
                </c:pt>
                <c:pt idx="23">
                  <c:v>1.0326676602086438</c:v>
                </c:pt>
                <c:pt idx="24">
                  <c:v>1.0633096644804596</c:v>
                </c:pt>
                <c:pt idx="25">
                  <c:v>1.099314032079088</c:v>
                </c:pt>
                <c:pt idx="26">
                  <c:v>1.1554012272273224</c:v>
                </c:pt>
                <c:pt idx="27">
                  <c:v>1.191685502814342</c:v>
                </c:pt>
                <c:pt idx="28">
                  <c:v>1.2560865644724977</c:v>
                </c:pt>
                <c:pt idx="29">
                  <c:v>1.3455537919554026</c:v>
                </c:pt>
                <c:pt idx="30">
                  <c:v>1.4697942506931272</c:v>
                </c:pt>
                <c:pt idx="31">
                  <c:v>1.5768697814887191</c:v>
                </c:pt>
                <c:pt idx="32">
                  <c:v>1.583948743888046</c:v>
                </c:pt>
                <c:pt idx="33">
                  <c:v>1.6091644204851752</c:v>
                </c:pt>
                <c:pt idx="34">
                  <c:v>1.638107890996725</c:v>
                </c:pt>
                <c:pt idx="35">
                  <c:v>1.7485664131070802</c:v>
                </c:pt>
                <c:pt idx="36">
                  <c:v>1.8825936679109638</c:v>
                </c:pt>
                <c:pt idx="37">
                  <c:v>2.0025794469665703</c:v>
                </c:pt>
                <c:pt idx="38">
                  <c:v>2.116319112301511</c:v>
                </c:pt>
                <c:pt idx="39">
                  <c:v>2.3455361148497085</c:v>
                </c:pt>
                <c:pt idx="40">
                  <c:v>2.5078845396713567</c:v>
                </c:pt>
                <c:pt idx="41">
                  <c:v>2.8055869530114648</c:v>
                </c:pt>
                <c:pt idx="42">
                  <c:v>3.1605756144423984</c:v>
                </c:pt>
                <c:pt idx="43">
                  <c:v>3.4384172213788005</c:v>
                </c:pt>
                <c:pt idx="44">
                  <c:v>3.5564470019734777</c:v>
                </c:pt>
                <c:pt idx="45">
                  <c:v>3.6040583274771611</c:v>
                </c:pt>
                <c:pt idx="46">
                  <c:v>3.6992439000231121</c:v>
                </c:pt>
                <c:pt idx="47">
                  <c:v>3.6844821115836877</c:v>
                </c:pt>
                <c:pt idx="48">
                  <c:v>3.6960761799782604</c:v>
                </c:pt>
                <c:pt idx="49">
                  <c:v>4.0417346514380785</c:v>
                </c:pt>
                <c:pt idx="50">
                  <c:v>3.9667894943159547</c:v>
                </c:pt>
                <c:pt idx="51">
                  <c:v>3.8997165772176325</c:v>
                </c:pt>
                <c:pt idx="52">
                  <c:v>3.7384961689970133</c:v>
                </c:pt>
                <c:pt idx="53">
                  <c:v>3.7248865344892996</c:v>
                </c:pt>
                <c:pt idx="54">
                  <c:v>3.9842167917285289</c:v>
                </c:pt>
                <c:pt idx="55">
                  <c:v>4.1318811427407445</c:v>
                </c:pt>
                <c:pt idx="56">
                  <c:v>4.1737436601082996</c:v>
                </c:pt>
              </c:numCache>
            </c:numRef>
          </c:val>
          <c:smooth val="0"/>
          <c:extLst>
            <c:ext xmlns:c16="http://schemas.microsoft.com/office/drawing/2014/chart" uri="{C3380CC4-5D6E-409C-BE32-E72D297353CC}">
              <c16:uniqueId val="{00000000-1464-420D-AE9D-CDF425AE9F7D}"/>
            </c:ext>
          </c:extLst>
        </c:ser>
        <c:ser>
          <c:idx val="4"/>
          <c:order val="1"/>
          <c:tx>
            <c:v>CMS_Proj</c:v>
          </c:tx>
          <c:spPr>
            <a:ln w="28575" cap="rnd">
              <a:solidFill>
                <a:schemeClr val="accent5"/>
              </a:solidFill>
              <a:prstDash val="dash"/>
              <a:round/>
            </a:ln>
            <a:effectLst/>
          </c:spPr>
          <c:marker>
            <c:symbol val="none"/>
          </c:marker>
          <c:cat>
            <c:strRef>
              <c:f>Data!$A$7:$A$72</c:f>
              <c:strCache>
                <c:ptCount val="66"/>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strCache>
            </c:strRef>
          </c:cat>
          <c:val>
            <c:numRef>
              <c:f>Data!$M$7:$M$72</c:f>
              <c:numCache>
                <c:formatCode>General</c:formatCode>
                <c:ptCount val="66"/>
                <c:pt idx="56">
                  <c:v>4.1737436601082996</c:v>
                </c:pt>
                <c:pt idx="57">
                  <c:v>4.2077345484285544</c:v>
                </c:pt>
                <c:pt idx="58">
                  <c:v>4.3464196755155626</c:v>
                </c:pt>
                <c:pt idx="59">
                  <c:v>4.4581891704869818</c:v>
                </c:pt>
                <c:pt idx="60">
                  <c:v>4.5746695621306719</c:v>
                </c:pt>
                <c:pt idx="61">
                  <c:v>4.6866994677372293</c:v>
                </c:pt>
                <c:pt idx="62">
                  <c:v>4.8008928830826738</c:v>
                </c:pt>
                <c:pt idx="63">
                  <c:v>4.9173169253717433</c:v>
                </c:pt>
                <c:pt idx="64">
                  <c:v>5.036690660395986</c:v>
                </c:pt>
                <c:pt idx="65">
                  <c:v>5.1605503794230003</c:v>
                </c:pt>
              </c:numCache>
            </c:numRef>
          </c:val>
          <c:smooth val="0"/>
          <c:extLst>
            <c:ext xmlns:c16="http://schemas.microsoft.com/office/drawing/2014/chart" uri="{C3380CC4-5D6E-409C-BE32-E72D297353CC}">
              <c16:uniqueId val="{00000001-1464-420D-AE9D-CDF425AE9F7D}"/>
            </c:ext>
          </c:extLst>
        </c:ser>
        <c:ser>
          <c:idx val="0"/>
          <c:order val="2"/>
          <c:tx>
            <c:v>Patent_Removed_Projection</c:v>
          </c:tx>
          <c:spPr>
            <a:ln w="28575" cap="rnd">
              <a:solidFill>
                <a:schemeClr val="accent2"/>
              </a:solidFill>
              <a:round/>
            </a:ln>
            <a:effectLst/>
          </c:spPr>
          <c:marker>
            <c:symbol val="none"/>
          </c:marker>
          <c:val>
            <c:numRef>
              <c:f>Data!$Q$7:$Q$72</c:f>
              <c:numCache>
                <c:formatCode>General</c:formatCode>
                <c:ptCount val="66"/>
                <c:pt idx="57">
                  <c:v>4.2077345484285544</c:v>
                </c:pt>
                <c:pt idx="58">
                  <c:v>0.86928393510311253</c:v>
                </c:pt>
                <c:pt idx="59">
                  <c:v>0.8916378340973965</c:v>
                </c:pt>
                <c:pt idx="60">
                  <c:v>0.91493391242613442</c:v>
                </c:pt>
                <c:pt idx="61">
                  <c:v>0.93733989354744585</c:v>
                </c:pt>
                <c:pt idx="62">
                  <c:v>0.96017857661653483</c:v>
                </c:pt>
                <c:pt idx="63">
                  <c:v>0.9834633850743485</c:v>
                </c:pt>
                <c:pt idx="64">
                  <c:v>1.0073381320791974</c:v>
                </c:pt>
                <c:pt idx="65">
                  <c:v>1.0321100758846002</c:v>
                </c:pt>
              </c:numCache>
            </c:numRef>
          </c:val>
          <c:smooth val="0"/>
          <c:extLst>
            <c:ext xmlns:c16="http://schemas.microsoft.com/office/drawing/2014/chart" uri="{C3380CC4-5D6E-409C-BE32-E72D297353CC}">
              <c16:uniqueId val="{00000002-1464-420D-AE9D-CDF425AE9F7D}"/>
            </c:ext>
          </c:extLst>
        </c:ser>
        <c:dLbls>
          <c:showLegendKey val="0"/>
          <c:showVal val="0"/>
          <c:showCatName val="0"/>
          <c:showSerName val="0"/>
          <c:showPercent val="0"/>
          <c:showBubbleSize val="0"/>
        </c:dLbls>
        <c:smooth val="0"/>
        <c:axId val="474259824"/>
        <c:axId val="474260480"/>
      </c:lineChart>
      <c:catAx>
        <c:axId val="474259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60480"/>
        <c:crosses val="autoZero"/>
        <c:auto val="1"/>
        <c:lblAlgn val="ctr"/>
        <c:lblOffset val="100"/>
        <c:tickLblSkip val="4"/>
        <c:noMultiLvlLbl val="0"/>
      </c:catAx>
      <c:valAx>
        <c:axId val="47426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59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Per capital</a:t>
            </a:r>
            <a:r>
              <a:rPr lang="en-US" sz="1800" b="1" baseline="0"/>
              <a:t> prescription </a:t>
            </a:r>
            <a:r>
              <a:rPr lang="en-US" sz="1800" b="1"/>
              <a:t>drug</a:t>
            </a:r>
            <a:r>
              <a:rPr lang="en-US" sz="1800" b="1" baseline="0"/>
              <a:t> expenditure as share of median wage</a:t>
            </a:r>
          </a:p>
        </c:rich>
      </c:tx>
      <c:layout>
        <c:manualLayout>
          <c:xMode val="edge"/>
          <c:yMode val="edge"/>
          <c:x val="2.2941118209280433E-2"/>
          <c:y val="3.2407407407407406E-2"/>
        </c:manualLayout>
      </c:layout>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9655852275541034E-2"/>
          <c:y val="0.17873794490124983"/>
          <c:w val="0.7297465396424504"/>
          <c:h val="0.47094939001960889"/>
        </c:manualLayout>
      </c:layout>
      <c:lineChart>
        <c:grouping val="standard"/>
        <c:varyColors val="0"/>
        <c:ser>
          <c:idx val="3"/>
          <c:order val="0"/>
          <c:tx>
            <c:v>Historical</c:v>
          </c:tx>
          <c:spPr>
            <a:ln w="28575" cap="rnd">
              <a:solidFill>
                <a:schemeClr val="accent5"/>
              </a:solidFill>
              <a:round/>
            </a:ln>
            <a:effectLst/>
          </c:spPr>
          <c:marker>
            <c:symbol val="none"/>
          </c:marker>
          <c:cat>
            <c:strRef>
              <c:f>Data!$A$26:$A$72</c:f>
              <c:strCache>
                <c:ptCount val="47"/>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pt idx="40">
                  <c:v>2019</c:v>
                </c:pt>
                <c:pt idx="41">
                  <c:v>2020</c:v>
                </c:pt>
                <c:pt idx="42">
                  <c:v>2021</c:v>
                </c:pt>
                <c:pt idx="43">
                  <c:v>2022</c:v>
                </c:pt>
                <c:pt idx="44">
                  <c:v>2023</c:v>
                </c:pt>
                <c:pt idx="45">
                  <c:v>2024</c:v>
                </c:pt>
                <c:pt idx="46">
                  <c:v>2025</c:v>
                </c:pt>
              </c:strCache>
            </c:strRef>
          </c:cat>
          <c:val>
            <c:numRef>
              <c:f>Data!$I$26:$I$63</c:f>
              <c:numCache>
                <c:formatCode>General</c:formatCode>
                <c:ptCount val="38"/>
                <c:pt idx="0">
                  <c:v>0.38182221861956672</c:v>
                </c:pt>
                <c:pt idx="1">
                  <c:v>0.38928138842438198</c:v>
                </c:pt>
                <c:pt idx="2">
                  <c:v>0.39598878668994381</c:v>
                </c:pt>
                <c:pt idx="3">
                  <c:v>0.4133082046308364</c:v>
                </c:pt>
                <c:pt idx="4">
                  <c:v>0.45436329528755343</c:v>
                </c:pt>
                <c:pt idx="5">
                  <c:v>0.48970559016747495</c:v>
                </c:pt>
                <c:pt idx="6">
                  <c:v>0.51179166949831045</c:v>
                </c:pt>
                <c:pt idx="7">
                  <c:v>0.54156903976164306</c:v>
                </c:pt>
                <c:pt idx="8">
                  <c:v>0.57106702752688343</c:v>
                </c:pt>
                <c:pt idx="9">
                  <c:v>0.62448242816983734</c:v>
                </c:pt>
                <c:pt idx="10">
                  <c:v>0.67658814389232902</c:v>
                </c:pt>
                <c:pt idx="11">
                  <c:v>0.75164298929406348</c:v>
                </c:pt>
                <c:pt idx="12">
                  <c:v>0.78973887912909146</c:v>
                </c:pt>
                <c:pt idx="13">
                  <c:v>0.79906153159289584</c:v>
                </c:pt>
                <c:pt idx="14">
                  <c:v>0.79933614864264346</c:v>
                </c:pt>
                <c:pt idx="15">
                  <c:v>0.82957072624102146</c:v>
                </c:pt>
                <c:pt idx="16">
                  <c:v>0.90050591454683382</c:v>
                </c:pt>
                <c:pt idx="17">
                  <c:v>0.99068696341603046</c:v>
                </c:pt>
                <c:pt idx="18">
                  <c:v>1.0874182960925161</c:v>
                </c:pt>
                <c:pt idx="19">
                  <c:v>1.1760835080168059</c:v>
                </c:pt>
                <c:pt idx="20">
                  <c:v>1.3130949527632336</c:v>
                </c:pt>
                <c:pt idx="21">
                  <c:v>1.4338756256130696</c:v>
                </c:pt>
                <c:pt idx="22">
                  <c:v>1.5731677814104328</c:v>
                </c:pt>
                <c:pt idx="23">
                  <c:v>1.73347181695707</c:v>
                </c:pt>
                <c:pt idx="24">
                  <c:v>1.8862392761631781</c:v>
                </c:pt>
                <c:pt idx="25">
                  <c:v>1.9810775460114476</c:v>
                </c:pt>
                <c:pt idx="26">
                  <c:v>2.0472941288750586</c:v>
                </c:pt>
                <c:pt idx="27">
                  <c:v>2.1483513369217464</c:v>
                </c:pt>
                <c:pt idx="28">
                  <c:v>2.1611631855990447</c:v>
                </c:pt>
                <c:pt idx="29">
                  <c:v>2.1117507297667819</c:v>
                </c:pt>
                <c:pt idx="30">
                  <c:v>2.1376561484760597</c:v>
                </c:pt>
                <c:pt idx="31">
                  <c:v>2.1039632056886659</c:v>
                </c:pt>
                <c:pt idx="32">
                  <c:v>2.1088707194361014</c:v>
                </c:pt>
                <c:pt idx="33">
                  <c:v>2.0635840961350729</c:v>
                </c:pt>
                <c:pt idx="34">
                  <c:v>2.0744650498284707</c:v>
                </c:pt>
                <c:pt idx="35">
                  <c:v>2.2709589677320152</c:v>
                </c:pt>
                <c:pt idx="36">
                  <c:v>2.4028011551154629</c:v>
                </c:pt>
                <c:pt idx="37">
                  <c:v>2.4349728422179782</c:v>
                </c:pt>
              </c:numCache>
            </c:numRef>
          </c:val>
          <c:smooth val="0"/>
          <c:extLst>
            <c:ext xmlns:c16="http://schemas.microsoft.com/office/drawing/2014/chart" uri="{C3380CC4-5D6E-409C-BE32-E72D297353CC}">
              <c16:uniqueId val="{00000000-342C-4DE2-B99C-3C4871DF4FD9}"/>
            </c:ext>
          </c:extLst>
        </c:ser>
        <c:ser>
          <c:idx val="4"/>
          <c:order val="1"/>
          <c:tx>
            <c:v>CMS_Proj</c:v>
          </c:tx>
          <c:spPr>
            <a:ln w="28575" cap="rnd">
              <a:solidFill>
                <a:schemeClr val="accent5"/>
              </a:solidFill>
              <a:prstDash val="dash"/>
              <a:round/>
            </a:ln>
            <a:effectLst/>
          </c:spPr>
          <c:marker>
            <c:symbol val="none"/>
          </c:marker>
          <c:cat>
            <c:strRef>
              <c:f>Data!$A$26:$A$72</c:f>
              <c:strCache>
                <c:ptCount val="47"/>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pt idx="40">
                  <c:v>2019</c:v>
                </c:pt>
                <c:pt idx="41">
                  <c:v>2020</c:v>
                </c:pt>
                <c:pt idx="42">
                  <c:v>2021</c:v>
                </c:pt>
                <c:pt idx="43">
                  <c:v>2022</c:v>
                </c:pt>
                <c:pt idx="44">
                  <c:v>2023</c:v>
                </c:pt>
                <c:pt idx="45">
                  <c:v>2024</c:v>
                </c:pt>
                <c:pt idx="46">
                  <c:v>2025</c:v>
                </c:pt>
              </c:strCache>
            </c:strRef>
          </c:cat>
          <c:val>
            <c:numRef>
              <c:f>Data!$J$26:$J$72</c:f>
              <c:numCache>
                <c:formatCode>General</c:formatCode>
                <c:ptCount val="47"/>
                <c:pt idx="37">
                  <c:v>2.4349728422179782</c:v>
                </c:pt>
                <c:pt idx="38">
                  <c:v>2.4799985527745951</c:v>
                </c:pt>
                <c:pt idx="39">
                  <c:v>2.5322027860582805</c:v>
                </c:pt>
                <c:pt idx="40">
                  <c:v>2.5678692917066139</c:v>
                </c:pt>
                <c:pt idx="41">
                  <c:v>2.6090198116040075</c:v>
                </c:pt>
                <c:pt idx="42">
                  <c:v>2.6574324013982045</c:v>
                </c:pt>
                <c:pt idx="43">
                  <c:v>2.7049261734656689</c:v>
                </c:pt>
                <c:pt idx="44">
                  <c:v>2.749186768836279</c:v>
                </c:pt>
                <c:pt idx="45">
                  <c:v>2.7949695371121455</c:v>
                </c:pt>
                <c:pt idx="46">
                  <c:v>2.8421882379179979</c:v>
                </c:pt>
              </c:numCache>
            </c:numRef>
          </c:val>
          <c:smooth val="0"/>
          <c:extLst>
            <c:ext xmlns:c16="http://schemas.microsoft.com/office/drawing/2014/chart" uri="{C3380CC4-5D6E-409C-BE32-E72D297353CC}">
              <c16:uniqueId val="{00000001-342C-4DE2-B99C-3C4871DF4FD9}"/>
            </c:ext>
          </c:extLst>
        </c:ser>
        <c:ser>
          <c:idx val="0"/>
          <c:order val="2"/>
          <c:tx>
            <c:v>Patent_Removed_Projection</c:v>
          </c:tx>
          <c:spPr>
            <a:ln w="28575" cap="rnd">
              <a:solidFill>
                <a:schemeClr val="accent2"/>
              </a:solidFill>
              <a:round/>
            </a:ln>
            <a:effectLst/>
          </c:spPr>
          <c:marker>
            <c:symbol val="none"/>
          </c:marker>
          <c:cat>
            <c:strRef>
              <c:f>Data!$A$26:$A$72</c:f>
              <c:strCache>
                <c:ptCount val="47"/>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pt idx="40">
                  <c:v>2019</c:v>
                </c:pt>
                <c:pt idx="41">
                  <c:v>2020</c:v>
                </c:pt>
                <c:pt idx="42">
                  <c:v>2021</c:v>
                </c:pt>
                <c:pt idx="43">
                  <c:v>2022</c:v>
                </c:pt>
                <c:pt idx="44">
                  <c:v>2023</c:v>
                </c:pt>
                <c:pt idx="45">
                  <c:v>2024</c:v>
                </c:pt>
                <c:pt idx="46">
                  <c:v>2025</c:v>
                </c:pt>
              </c:strCache>
            </c:strRef>
          </c:cat>
          <c:val>
            <c:numRef>
              <c:f>Data!$P$26:$P$72</c:f>
              <c:numCache>
                <c:formatCode>General</c:formatCode>
                <c:ptCount val="47"/>
                <c:pt idx="38">
                  <c:v>2.4799985527745951</c:v>
                </c:pt>
                <c:pt idx="39">
                  <c:v>0.50644055721165615</c:v>
                </c:pt>
                <c:pt idx="40">
                  <c:v>0.51357385834132285</c:v>
                </c:pt>
                <c:pt idx="41">
                  <c:v>0.52180396232080151</c:v>
                </c:pt>
                <c:pt idx="42">
                  <c:v>0.53148648027964085</c:v>
                </c:pt>
                <c:pt idx="43">
                  <c:v>0.54098523469313375</c:v>
                </c:pt>
                <c:pt idx="44">
                  <c:v>0.54983735376725573</c:v>
                </c:pt>
                <c:pt idx="45">
                  <c:v>0.55899390742242905</c:v>
                </c:pt>
                <c:pt idx="46">
                  <c:v>0.5684376475835996</c:v>
                </c:pt>
              </c:numCache>
            </c:numRef>
          </c:val>
          <c:smooth val="0"/>
          <c:extLst>
            <c:ext xmlns:c16="http://schemas.microsoft.com/office/drawing/2014/chart" uri="{C3380CC4-5D6E-409C-BE32-E72D297353CC}">
              <c16:uniqueId val="{00000002-342C-4DE2-B99C-3C4871DF4FD9}"/>
            </c:ext>
          </c:extLst>
        </c:ser>
        <c:dLbls>
          <c:showLegendKey val="0"/>
          <c:showVal val="0"/>
          <c:showCatName val="0"/>
          <c:showSerName val="0"/>
          <c:showPercent val="0"/>
          <c:showBubbleSize val="0"/>
        </c:dLbls>
        <c:smooth val="0"/>
        <c:axId val="474259824"/>
        <c:axId val="474260480"/>
      </c:lineChart>
      <c:catAx>
        <c:axId val="474259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60480"/>
        <c:crosses val="autoZero"/>
        <c:auto val="1"/>
        <c:lblAlgn val="ctr"/>
        <c:lblOffset val="100"/>
        <c:tickLblSkip val="4"/>
        <c:noMultiLvlLbl val="0"/>
      </c:catAx>
      <c:valAx>
        <c:axId val="47426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59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0.74499</cdr:x>
      <cdr:y>0.18194</cdr:y>
    </cdr:from>
    <cdr:to>
      <cdr:x>0.86229</cdr:x>
      <cdr:y>0.51528</cdr:y>
    </cdr:to>
    <cdr:sp macro="" textlink="">
      <cdr:nvSpPr>
        <cdr:cNvPr id="3" name="TextBox 2">
          <a:extLst xmlns:a="http://schemas.openxmlformats.org/drawingml/2006/main">
            <a:ext uri="{FF2B5EF4-FFF2-40B4-BE49-F238E27FC236}">
              <a16:creationId xmlns:a16="http://schemas.microsoft.com/office/drawing/2014/main" id="{F0D83B23-CF2E-43CB-9A5B-54557217D63F}"/>
            </a:ext>
          </a:extLst>
        </cdr:cNvPr>
        <cdr:cNvSpPr txBox="1"/>
      </cdr:nvSpPr>
      <cdr:spPr>
        <a:xfrm xmlns:a="http://schemas.openxmlformats.org/drawingml/2006/main">
          <a:off x="4813955" y="499110"/>
          <a:ext cx="757978"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History</a:t>
          </a:r>
          <a:r>
            <a:rPr lang="en-US" sz="1100" baseline="0"/>
            <a:t> (solid line) and </a:t>
          </a:r>
        </a:p>
        <a:p xmlns:a="http://schemas.openxmlformats.org/drawingml/2006/main">
          <a:r>
            <a:rPr lang="en-US" sz="1100" baseline="0"/>
            <a:t>CMS Projection (dotted)</a:t>
          </a:r>
          <a:endParaRPr lang="en-US" sz="1100"/>
        </a:p>
      </cdr:txBody>
    </cdr:sp>
  </cdr:relSizeAnchor>
  <cdr:relSizeAnchor xmlns:cdr="http://schemas.openxmlformats.org/drawingml/2006/chartDrawing">
    <cdr:from>
      <cdr:x>0.75315</cdr:x>
      <cdr:y>0.5234</cdr:y>
    </cdr:from>
    <cdr:to>
      <cdr:x>0.87045</cdr:x>
      <cdr:y>0.72201</cdr:y>
    </cdr:to>
    <cdr:sp macro="" textlink="">
      <cdr:nvSpPr>
        <cdr:cNvPr id="4" name="TextBox 1">
          <a:extLst xmlns:a="http://schemas.openxmlformats.org/drawingml/2006/main">
            <a:ext uri="{FF2B5EF4-FFF2-40B4-BE49-F238E27FC236}">
              <a16:creationId xmlns:a16="http://schemas.microsoft.com/office/drawing/2014/main" id="{5000494E-8C1D-4CBD-ABD2-34E69E785F5E}"/>
            </a:ext>
          </a:extLst>
        </cdr:cNvPr>
        <cdr:cNvSpPr txBox="1"/>
      </cdr:nvSpPr>
      <cdr:spPr>
        <a:xfrm xmlns:a="http://schemas.openxmlformats.org/drawingml/2006/main">
          <a:off x="4866670" y="1892464"/>
          <a:ext cx="757964" cy="71811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All</a:t>
          </a:r>
          <a:r>
            <a:rPr lang="en-US" sz="1100" baseline="0"/>
            <a:t> prescription drugs as</a:t>
          </a:r>
        </a:p>
        <a:p xmlns:a="http://schemas.openxmlformats.org/drawingml/2006/main">
          <a:r>
            <a:rPr lang="en-US" sz="1100" baseline="0"/>
            <a:t>generics (1/5 price)</a:t>
          </a:r>
          <a:endParaRPr lang="en-US" sz="1100"/>
        </a:p>
      </cdr:txBody>
    </cdr:sp>
  </cdr:relSizeAnchor>
  <cdr:relSizeAnchor xmlns:cdr="http://schemas.openxmlformats.org/drawingml/2006/chartDrawing">
    <cdr:from>
      <cdr:x>0.01415</cdr:x>
      <cdr:y>0.74289</cdr:y>
    </cdr:from>
    <cdr:to>
      <cdr:x>0.99175</cdr:x>
      <cdr:y>1</cdr:y>
    </cdr:to>
    <cdr:sp macro="" textlink="">
      <cdr:nvSpPr>
        <cdr:cNvPr id="5" name="TextBox 4">
          <a:extLst xmlns:a="http://schemas.openxmlformats.org/drawingml/2006/main">
            <a:ext uri="{FF2B5EF4-FFF2-40B4-BE49-F238E27FC236}">
              <a16:creationId xmlns:a16="http://schemas.microsoft.com/office/drawing/2014/main" id="{8FE41429-2B47-4457-8A6C-86432137CD22}"/>
            </a:ext>
          </a:extLst>
        </cdr:cNvPr>
        <cdr:cNvSpPr txBox="1"/>
      </cdr:nvSpPr>
      <cdr:spPr>
        <a:xfrm xmlns:a="http://schemas.openxmlformats.org/drawingml/2006/main">
          <a:off x="91440" y="2686051"/>
          <a:ext cx="6316980" cy="92963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Data sources: Total</a:t>
          </a:r>
          <a:r>
            <a:rPr lang="en-US" sz="1100" baseline="0"/>
            <a:t> prescription drug expenditure: </a:t>
          </a:r>
          <a:r>
            <a:rPr lang="en-US"/>
            <a:t>Centers for Medicare &amp; Medicaid Services,</a:t>
          </a:r>
          <a:r>
            <a:rPr lang="en-US" baseline="0"/>
            <a:t> </a:t>
          </a:r>
        </a:p>
        <a:p xmlns:a="http://schemas.openxmlformats.org/drawingml/2006/main">
          <a:r>
            <a:rPr lang="en-US" baseline="0"/>
            <a:t>  </a:t>
          </a:r>
          <a:r>
            <a:rPr lang="en-US"/>
            <a:t>National Health Expenditure Accounts (February</a:t>
          </a:r>
          <a:r>
            <a:rPr lang="en-US" baseline="0"/>
            <a:t> 2017 projection). </a:t>
          </a:r>
        </a:p>
        <a:p xmlns:a="http://schemas.openxmlformats.org/drawingml/2006/main">
          <a:r>
            <a:rPr lang="en-US" baseline="0"/>
            <a:t>  Wages: Bureau of Economic Analysis (BEA): National income: Compensation of employees: </a:t>
          </a:r>
        </a:p>
        <a:p xmlns:a="http://schemas.openxmlformats.org/drawingml/2006/main">
          <a:r>
            <a:rPr lang="en-US" baseline="0"/>
            <a:t>  Wages and salaries (not seasonally adjusted). Wage growth projections from CBO begin 2017</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0.76268</cdr:x>
      <cdr:y>0.15033</cdr:y>
    </cdr:from>
    <cdr:to>
      <cdr:x>0.87998</cdr:x>
      <cdr:y>0.48367</cdr:y>
    </cdr:to>
    <cdr:sp macro="" textlink="">
      <cdr:nvSpPr>
        <cdr:cNvPr id="3" name="TextBox 2">
          <a:extLst xmlns:a="http://schemas.openxmlformats.org/drawingml/2006/main">
            <a:ext uri="{FF2B5EF4-FFF2-40B4-BE49-F238E27FC236}">
              <a16:creationId xmlns:a16="http://schemas.microsoft.com/office/drawing/2014/main" id="{F0D83B23-CF2E-43CB-9A5B-54557217D63F}"/>
            </a:ext>
          </a:extLst>
        </cdr:cNvPr>
        <cdr:cNvSpPr txBox="1"/>
      </cdr:nvSpPr>
      <cdr:spPr>
        <a:xfrm xmlns:a="http://schemas.openxmlformats.org/drawingml/2006/main">
          <a:off x="4928247" y="543539"/>
          <a:ext cx="757964" cy="120525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History</a:t>
          </a:r>
          <a:r>
            <a:rPr lang="en-US" sz="1100" baseline="0"/>
            <a:t> (solid line) and </a:t>
          </a:r>
        </a:p>
        <a:p xmlns:a="http://schemas.openxmlformats.org/drawingml/2006/main">
          <a:r>
            <a:rPr lang="en-US" sz="1100" baseline="0"/>
            <a:t>CMS Projection (dotted)</a:t>
          </a:r>
          <a:endParaRPr lang="en-US" sz="1100"/>
        </a:p>
      </cdr:txBody>
    </cdr:sp>
  </cdr:relSizeAnchor>
  <cdr:relSizeAnchor xmlns:cdr="http://schemas.openxmlformats.org/drawingml/2006/chartDrawing">
    <cdr:from>
      <cdr:x>0.76341</cdr:x>
      <cdr:y>0.4959</cdr:y>
    </cdr:from>
    <cdr:to>
      <cdr:x>0.88071</cdr:x>
      <cdr:y>0.69451</cdr:y>
    </cdr:to>
    <cdr:sp macro="" textlink="">
      <cdr:nvSpPr>
        <cdr:cNvPr id="4" name="TextBox 1">
          <a:extLst xmlns:a="http://schemas.openxmlformats.org/drawingml/2006/main">
            <a:ext uri="{FF2B5EF4-FFF2-40B4-BE49-F238E27FC236}">
              <a16:creationId xmlns:a16="http://schemas.microsoft.com/office/drawing/2014/main" id="{5000494E-8C1D-4CBD-ABD2-34E69E785F5E}"/>
            </a:ext>
          </a:extLst>
        </cdr:cNvPr>
        <cdr:cNvSpPr txBox="1"/>
      </cdr:nvSpPr>
      <cdr:spPr>
        <a:xfrm xmlns:a="http://schemas.openxmlformats.org/drawingml/2006/main">
          <a:off x="4537382" y="1649124"/>
          <a:ext cx="697185" cy="66047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All</a:t>
          </a:r>
          <a:r>
            <a:rPr lang="en-US" sz="1100" baseline="0"/>
            <a:t> prescription drugs </a:t>
          </a:r>
        </a:p>
        <a:p xmlns:a="http://schemas.openxmlformats.org/drawingml/2006/main">
          <a:r>
            <a:rPr lang="en-US" sz="1100" baseline="0"/>
            <a:t>as generics (1/5 price)</a:t>
          </a:r>
          <a:endParaRPr lang="en-US" sz="1100"/>
        </a:p>
      </cdr:txBody>
    </cdr:sp>
  </cdr:relSizeAnchor>
  <cdr:relSizeAnchor xmlns:cdr="http://schemas.openxmlformats.org/drawingml/2006/chartDrawing">
    <cdr:from>
      <cdr:x>0.01415</cdr:x>
      <cdr:y>0.71654</cdr:y>
    </cdr:from>
    <cdr:to>
      <cdr:x>0.99175</cdr:x>
      <cdr:y>1</cdr:y>
    </cdr:to>
    <cdr:sp macro="" textlink="">
      <cdr:nvSpPr>
        <cdr:cNvPr id="5" name="TextBox 4">
          <a:extLst xmlns:a="http://schemas.openxmlformats.org/drawingml/2006/main">
            <a:ext uri="{FF2B5EF4-FFF2-40B4-BE49-F238E27FC236}">
              <a16:creationId xmlns:a16="http://schemas.microsoft.com/office/drawing/2014/main" id="{8FE41429-2B47-4457-8A6C-86432137CD22}"/>
            </a:ext>
          </a:extLst>
        </cdr:cNvPr>
        <cdr:cNvSpPr txBox="1"/>
      </cdr:nvSpPr>
      <cdr:spPr>
        <a:xfrm xmlns:a="http://schemas.openxmlformats.org/drawingml/2006/main">
          <a:off x="91434" y="2590800"/>
          <a:ext cx="6317016" cy="102489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Data sources: Total</a:t>
          </a:r>
          <a:r>
            <a:rPr lang="en-US" sz="1100" baseline="0"/>
            <a:t> prescription drug expenditure: </a:t>
          </a:r>
          <a:r>
            <a:rPr lang="en-US"/>
            <a:t>Centers for Medicare &amp; Medicaid Services,</a:t>
          </a:r>
          <a:r>
            <a:rPr lang="en-US" baseline="0"/>
            <a:t> </a:t>
          </a:r>
        </a:p>
        <a:p xmlns:a="http://schemas.openxmlformats.org/drawingml/2006/main">
          <a:r>
            <a:rPr lang="en-US" baseline="0"/>
            <a:t>  </a:t>
          </a:r>
          <a:r>
            <a:rPr lang="en-US"/>
            <a:t>National Health Expenditure Accounts (February</a:t>
          </a:r>
          <a:r>
            <a:rPr lang="en-US" baseline="0"/>
            <a:t> 2017 projection). </a:t>
          </a:r>
        </a:p>
        <a:p xmlns:a="http://schemas.openxmlformats.org/drawingml/2006/main">
          <a:r>
            <a:rPr lang="en-US" baseline="0"/>
            <a:t>  Wages: Bureau of Labor Statistics (BLS): Median usual weekly earnings (second quartile), </a:t>
          </a:r>
        </a:p>
        <a:p xmlns:a="http://schemas.openxmlformats.org/drawingml/2006/main">
          <a:r>
            <a:rPr lang="en-US" baseline="0"/>
            <a:t>  Employed full time, Wage and salary workers, 16 years and older). </a:t>
          </a:r>
        </a:p>
        <a:p xmlns:a="http://schemas.openxmlformats.org/drawingml/2006/main">
          <a:r>
            <a:rPr lang="en-US" baseline="0"/>
            <a:t>  Wage growth projections from CBO begin 2017.</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6</cp:revision>
  <dcterms:created xsi:type="dcterms:W3CDTF">2017-06-12T18:01:00Z</dcterms:created>
  <dcterms:modified xsi:type="dcterms:W3CDTF">2017-06-13T21:36:00Z</dcterms:modified>
</cp:coreProperties>
</file>