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52" w:rsidRPr="00FD250D" w:rsidRDefault="00FD250D">
      <w:pPr>
        <w:rPr>
          <w:rFonts w:ascii="Arial" w:hAnsi="Arial" w:cs="Arial"/>
          <w:b/>
          <w:sz w:val="20"/>
          <w:szCs w:val="20"/>
        </w:rPr>
      </w:pPr>
      <w:r w:rsidRPr="00FD250D">
        <w:rPr>
          <w:rFonts w:ascii="Arial" w:hAnsi="Arial" w:cs="Arial"/>
          <w:b/>
          <w:sz w:val="20"/>
          <w:szCs w:val="20"/>
        </w:rPr>
        <w:t>10. Corporate profit share of net domestic product vs. non-residential investment share</w:t>
      </w:r>
    </w:p>
    <w:p w:rsidR="00FD250D" w:rsidRPr="00FD250D" w:rsidRDefault="00D53DFC">
      <w:pPr>
        <w:rPr>
          <w:rFonts w:ascii="Arial" w:hAnsi="Arial" w:cs="Arial"/>
          <w:sz w:val="20"/>
          <w:szCs w:val="20"/>
        </w:rPr>
      </w:pPr>
      <w:r w:rsidRPr="00CA706E">
        <w:rPr>
          <w:rFonts w:ascii="Arial" w:hAnsi="Arial" w:cs="Arial"/>
          <w:b/>
          <w:sz w:val="20"/>
          <w:szCs w:val="20"/>
        </w:rPr>
        <w:t>Preliminary finding</w:t>
      </w:r>
      <w:r>
        <w:rPr>
          <w:rFonts w:ascii="Arial" w:hAnsi="Arial" w:cs="Arial"/>
          <w:sz w:val="20"/>
          <w:szCs w:val="20"/>
        </w:rPr>
        <w:t xml:space="preserve">: </w:t>
      </w:r>
      <w:r w:rsidR="00FD250D" w:rsidRPr="00FD250D">
        <w:rPr>
          <w:rFonts w:ascii="Arial" w:hAnsi="Arial" w:cs="Arial"/>
          <w:sz w:val="20"/>
          <w:szCs w:val="20"/>
        </w:rPr>
        <w:t xml:space="preserve">No </w:t>
      </w:r>
      <w:r w:rsidR="00FD250D">
        <w:rPr>
          <w:rFonts w:ascii="Arial" w:hAnsi="Arial" w:cs="Arial"/>
          <w:sz w:val="20"/>
          <w:szCs w:val="20"/>
        </w:rPr>
        <w:t>indication</w:t>
      </w:r>
      <w:r w:rsidR="00FD250D" w:rsidRPr="00FD250D">
        <w:rPr>
          <w:rFonts w:ascii="Arial" w:hAnsi="Arial" w:cs="Arial"/>
          <w:sz w:val="20"/>
          <w:szCs w:val="20"/>
        </w:rPr>
        <w:t xml:space="preserve"> of </w:t>
      </w:r>
      <w:r w:rsidR="00FD250D">
        <w:rPr>
          <w:rFonts w:ascii="Arial" w:hAnsi="Arial" w:cs="Arial"/>
          <w:sz w:val="20"/>
          <w:szCs w:val="20"/>
        </w:rPr>
        <w:t>co-movement</w:t>
      </w:r>
      <w:r w:rsidR="00FD250D" w:rsidRPr="00FD250D">
        <w:rPr>
          <w:rFonts w:ascii="Arial" w:hAnsi="Arial" w:cs="Arial"/>
          <w:sz w:val="20"/>
          <w:szCs w:val="20"/>
        </w:rPr>
        <w:t xml:space="preserve"> between before- or afte</w:t>
      </w:r>
      <w:r>
        <w:rPr>
          <w:rFonts w:ascii="Arial" w:hAnsi="Arial" w:cs="Arial"/>
          <w:sz w:val="20"/>
          <w:szCs w:val="20"/>
        </w:rPr>
        <w:t>r-tax corporate profit share of net domestic product (</w:t>
      </w:r>
      <w:r w:rsidR="00FD250D" w:rsidRPr="00FD250D">
        <w:rPr>
          <w:rFonts w:ascii="Arial" w:hAnsi="Arial" w:cs="Arial"/>
          <w:sz w:val="20"/>
          <w:szCs w:val="20"/>
        </w:rPr>
        <w:t>NDP</w:t>
      </w:r>
      <w:r>
        <w:rPr>
          <w:rFonts w:ascii="Arial" w:hAnsi="Arial" w:cs="Arial"/>
          <w:sz w:val="20"/>
          <w:szCs w:val="20"/>
        </w:rPr>
        <w:t>)</w:t>
      </w:r>
      <w:r w:rsidR="00FD250D" w:rsidRPr="00FD250D">
        <w:rPr>
          <w:rFonts w:ascii="Arial" w:hAnsi="Arial" w:cs="Arial"/>
          <w:sz w:val="20"/>
          <w:szCs w:val="20"/>
        </w:rPr>
        <w:t xml:space="preserve"> and non-residential fixed investment share</w:t>
      </w:r>
      <w:r w:rsidR="00FD250D">
        <w:rPr>
          <w:rFonts w:ascii="Arial" w:hAnsi="Arial" w:cs="Arial"/>
          <w:sz w:val="20"/>
          <w:szCs w:val="20"/>
        </w:rPr>
        <w:t xml:space="preserve"> of NDP</w:t>
      </w:r>
      <w:r w:rsidR="00FD250D" w:rsidRPr="00FD250D">
        <w:rPr>
          <w:rFonts w:ascii="Arial" w:hAnsi="Arial" w:cs="Arial"/>
          <w:sz w:val="20"/>
          <w:szCs w:val="20"/>
        </w:rPr>
        <w:t xml:space="preserve">. </w:t>
      </w:r>
    </w:p>
    <w:p w:rsidR="00FD250D" w:rsidRPr="00FD250D" w:rsidRDefault="00FD250D">
      <w:p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Correlation is weakly negative, as follows: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Corporate profit (after tax) share of NDP and investment share of NDP: -0.14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Corporate profit (before tax) share of NDP and investment share of NDP: -0.26</w:t>
      </w:r>
    </w:p>
    <w:p w:rsidR="00FD250D" w:rsidRP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>Corporate profit (after tax) share of NDP and investment share of NDP (one-year percent change): -0.23</w:t>
      </w:r>
    </w:p>
    <w:p w:rsid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250D">
        <w:rPr>
          <w:rFonts w:ascii="Arial" w:hAnsi="Arial" w:cs="Arial"/>
          <w:sz w:val="20"/>
          <w:szCs w:val="20"/>
        </w:rPr>
        <w:t xml:space="preserve">Corporate profit (before tax) share of NDP and investment share of NDP (one-year percent change): -0.16 </w:t>
      </w:r>
      <w:bookmarkStart w:id="0" w:name="_GoBack"/>
      <w:bookmarkEnd w:id="0"/>
    </w:p>
    <w:p w:rsidR="00FD250D" w:rsidRDefault="00086BDE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basic p</w:t>
      </w:r>
      <w:r w:rsidR="00FD250D">
        <w:rPr>
          <w:rFonts w:ascii="Arial" w:hAnsi="Arial" w:cs="Arial"/>
          <w:sz w:val="20"/>
          <w:szCs w:val="20"/>
        </w:rPr>
        <w:t>lots:</w:t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0D" w:rsidRDefault="00FD250D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at the plots suggests the possibility that investment (which is </w:t>
      </w:r>
      <w:r w:rsidR="00086BDE">
        <w:rPr>
          <w:rFonts w:ascii="Arial" w:hAnsi="Arial" w:cs="Arial"/>
          <w:sz w:val="20"/>
          <w:szCs w:val="20"/>
        </w:rPr>
        <w:t xml:space="preserve">often </w:t>
      </w:r>
      <w:r w:rsidR="00D53DFC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longer-term </w:t>
      </w:r>
      <w:r w:rsidR="00D53DFC">
        <w:rPr>
          <w:rFonts w:ascii="Arial" w:hAnsi="Arial" w:cs="Arial"/>
          <w:sz w:val="20"/>
          <w:szCs w:val="20"/>
        </w:rPr>
        <w:t>decision for firms</w:t>
      </w:r>
      <w:r w:rsidR="00345B6D">
        <w:rPr>
          <w:rFonts w:ascii="Arial" w:hAnsi="Arial" w:cs="Arial"/>
          <w:sz w:val="20"/>
          <w:szCs w:val="20"/>
        </w:rPr>
        <w:t>) may hav</w:t>
      </w:r>
      <w:r>
        <w:rPr>
          <w:rFonts w:ascii="Arial" w:hAnsi="Arial" w:cs="Arial"/>
          <w:sz w:val="20"/>
          <w:szCs w:val="20"/>
        </w:rPr>
        <w:t xml:space="preserve">e a </w:t>
      </w:r>
      <w:r w:rsidR="00D53DFC">
        <w:rPr>
          <w:rFonts w:ascii="Arial" w:hAnsi="Arial" w:cs="Arial"/>
          <w:sz w:val="20"/>
          <w:szCs w:val="20"/>
        </w:rPr>
        <w:t xml:space="preserve">weak </w:t>
      </w:r>
      <w:r>
        <w:rPr>
          <w:rFonts w:ascii="Arial" w:hAnsi="Arial" w:cs="Arial"/>
          <w:sz w:val="20"/>
          <w:szCs w:val="20"/>
        </w:rPr>
        <w:t>lagg</w:t>
      </w:r>
      <w:r w:rsidR="00345B6D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345B6D">
        <w:rPr>
          <w:rFonts w:ascii="Arial" w:hAnsi="Arial" w:cs="Arial"/>
          <w:sz w:val="20"/>
          <w:szCs w:val="20"/>
        </w:rPr>
        <w:t>response to corporate profit increases</w:t>
      </w:r>
      <w:r>
        <w:rPr>
          <w:rFonts w:ascii="Arial" w:hAnsi="Arial" w:cs="Arial"/>
          <w:sz w:val="20"/>
          <w:szCs w:val="20"/>
        </w:rPr>
        <w:t xml:space="preserve">. </w:t>
      </w:r>
      <w:r w:rsidR="00596E63">
        <w:rPr>
          <w:rFonts w:ascii="Arial" w:hAnsi="Arial" w:cs="Arial"/>
          <w:sz w:val="20"/>
          <w:szCs w:val="20"/>
        </w:rPr>
        <w:t>Including, for example, a</w:t>
      </w:r>
      <w:r>
        <w:rPr>
          <w:rFonts w:ascii="Arial" w:hAnsi="Arial" w:cs="Arial"/>
          <w:sz w:val="20"/>
          <w:szCs w:val="20"/>
        </w:rPr>
        <w:t xml:space="preserve"> one-year lag to investment share of NDP does yield a weakly positive correlation: </w:t>
      </w:r>
    </w:p>
    <w:p w:rsidR="00FD250D" w:rsidRDefault="00FD250D" w:rsidP="00FD25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FD250D">
        <w:rPr>
          <w:rFonts w:ascii="Arial" w:hAnsi="Arial" w:cs="Arial"/>
          <w:sz w:val="20"/>
          <w:szCs w:val="20"/>
        </w:rPr>
        <w:t>orporate profits (after tax) share of NDP and one-year lagged investment share of NDP (one-year percent change): 0.32</w:t>
      </w:r>
    </w:p>
    <w:p w:rsidR="00FD250D" w:rsidRDefault="00D53DFC" w:rsidP="00FD25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 additionally considered the possibility that </w:t>
      </w:r>
      <w:r w:rsidR="00345B6D">
        <w:rPr>
          <w:rFonts w:ascii="Arial" w:hAnsi="Arial" w:cs="Arial"/>
          <w:sz w:val="20"/>
          <w:szCs w:val="20"/>
        </w:rPr>
        <w:t xml:space="preserve">firms’ </w:t>
      </w:r>
      <w:r>
        <w:rPr>
          <w:rFonts w:ascii="Arial" w:hAnsi="Arial" w:cs="Arial"/>
          <w:sz w:val="20"/>
          <w:szCs w:val="20"/>
        </w:rPr>
        <w:t xml:space="preserve">cost of capital, </w:t>
      </w:r>
      <w:r w:rsidR="00596E63">
        <w:rPr>
          <w:rFonts w:ascii="Arial" w:hAnsi="Arial" w:cs="Arial"/>
          <w:sz w:val="20"/>
          <w:szCs w:val="20"/>
        </w:rPr>
        <w:t xml:space="preserve">measured as </w:t>
      </w:r>
      <w:r>
        <w:rPr>
          <w:rFonts w:ascii="Arial" w:hAnsi="Arial" w:cs="Arial"/>
          <w:sz w:val="20"/>
          <w:szCs w:val="20"/>
        </w:rPr>
        <w:t>BA</w:t>
      </w:r>
      <w:r w:rsidR="00086BDE">
        <w:rPr>
          <w:rFonts w:ascii="Arial" w:hAnsi="Arial" w:cs="Arial"/>
          <w:sz w:val="20"/>
          <w:szCs w:val="20"/>
        </w:rPr>
        <w:t>A-rated corporate bond yields, c</w:t>
      </w:r>
      <w:r>
        <w:rPr>
          <w:rFonts w:ascii="Arial" w:hAnsi="Arial" w:cs="Arial"/>
          <w:sz w:val="20"/>
          <w:szCs w:val="20"/>
        </w:rPr>
        <w:t>ould be a stronger determinant of investment share of NDP</w:t>
      </w:r>
      <w:r w:rsidR="00086BDE">
        <w:rPr>
          <w:rFonts w:ascii="Arial" w:hAnsi="Arial" w:cs="Arial"/>
          <w:sz w:val="20"/>
          <w:szCs w:val="20"/>
        </w:rPr>
        <w:t xml:space="preserve"> (which </w:t>
      </w:r>
      <w:r w:rsidR="00345B6D">
        <w:rPr>
          <w:rFonts w:ascii="Arial" w:hAnsi="Arial" w:cs="Arial"/>
          <w:sz w:val="20"/>
          <w:szCs w:val="20"/>
        </w:rPr>
        <w:t>c</w:t>
      </w:r>
      <w:r w:rsidR="00086BDE">
        <w:rPr>
          <w:rFonts w:ascii="Arial" w:hAnsi="Arial" w:cs="Arial"/>
          <w:sz w:val="20"/>
          <w:szCs w:val="20"/>
        </w:rPr>
        <w:t xml:space="preserve">ould support a lower FF rate path to </w:t>
      </w:r>
      <w:r w:rsidR="00086BDE" w:rsidRPr="00E96DCE">
        <w:rPr>
          <w:rFonts w:ascii="Arial" w:hAnsi="Arial" w:cs="Arial"/>
          <w:sz w:val="20"/>
          <w:szCs w:val="20"/>
        </w:rPr>
        <w:t>spur investment).</w:t>
      </w:r>
      <w:r w:rsidRPr="00E96DCE">
        <w:rPr>
          <w:rFonts w:ascii="Arial" w:hAnsi="Arial" w:cs="Arial"/>
          <w:sz w:val="20"/>
          <w:szCs w:val="20"/>
        </w:rPr>
        <w:t xml:space="preserve"> However, the counter-cyclicality of monetary policy seems to result in a </w:t>
      </w:r>
      <w:r w:rsidR="00CA706E" w:rsidRPr="00E96DCE">
        <w:rPr>
          <w:rFonts w:ascii="Arial" w:hAnsi="Arial" w:cs="Arial"/>
          <w:sz w:val="20"/>
          <w:szCs w:val="20"/>
        </w:rPr>
        <w:t>weakly</w:t>
      </w:r>
      <w:r w:rsidRPr="00E96DCE">
        <w:rPr>
          <w:rFonts w:ascii="Arial" w:hAnsi="Arial" w:cs="Arial"/>
          <w:sz w:val="20"/>
          <w:szCs w:val="20"/>
        </w:rPr>
        <w:t xml:space="preserve"> </w:t>
      </w:r>
      <w:r w:rsidR="00CA706E" w:rsidRPr="00E96DCE">
        <w:rPr>
          <w:rFonts w:ascii="Arial" w:hAnsi="Arial" w:cs="Arial"/>
          <w:sz w:val="20"/>
          <w:szCs w:val="20"/>
        </w:rPr>
        <w:t>positive (0.21)</w:t>
      </w:r>
      <w:r w:rsidRPr="00E96DCE">
        <w:rPr>
          <w:rFonts w:ascii="Arial" w:hAnsi="Arial" w:cs="Arial"/>
          <w:sz w:val="20"/>
          <w:szCs w:val="20"/>
        </w:rPr>
        <w:t xml:space="preserve"> corre</w:t>
      </w:r>
      <w:r w:rsidR="00CA706E" w:rsidRPr="00E96DCE">
        <w:rPr>
          <w:rFonts w:ascii="Arial" w:hAnsi="Arial" w:cs="Arial"/>
          <w:sz w:val="20"/>
          <w:szCs w:val="20"/>
        </w:rPr>
        <w:t xml:space="preserve">lation between BAA corporate bond yield one-year-changes and one-year changes in non-residential fixed investment, where a negative correlation is expected. </w:t>
      </w:r>
      <w:r w:rsidR="00596E63" w:rsidRPr="00E96DCE">
        <w:rPr>
          <w:rFonts w:ascii="Arial" w:hAnsi="Arial" w:cs="Arial"/>
          <w:sz w:val="20"/>
          <w:szCs w:val="20"/>
        </w:rPr>
        <w:t>A</w:t>
      </w:r>
      <w:r w:rsidR="00CA706E" w:rsidRPr="00E96DCE">
        <w:rPr>
          <w:rFonts w:ascii="Arial" w:hAnsi="Arial" w:cs="Arial"/>
          <w:sz w:val="20"/>
          <w:szCs w:val="20"/>
        </w:rPr>
        <w:t xml:space="preserve"> one-year lag to investment </w:t>
      </w:r>
      <w:r w:rsidR="00596E63" w:rsidRPr="00E96DCE">
        <w:rPr>
          <w:rFonts w:ascii="Arial" w:hAnsi="Arial" w:cs="Arial"/>
          <w:sz w:val="20"/>
          <w:szCs w:val="20"/>
        </w:rPr>
        <w:t xml:space="preserve">again </w:t>
      </w:r>
      <w:r w:rsidR="00CA706E" w:rsidRPr="00E96DCE">
        <w:rPr>
          <w:rFonts w:ascii="Arial" w:hAnsi="Arial" w:cs="Arial"/>
          <w:sz w:val="20"/>
          <w:szCs w:val="20"/>
        </w:rPr>
        <w:t>flips the correlation to be weakly negative (-0.21).</w:t>
      </w:r>
    </w:p>
    <w:p w:rsidR="00E96DCE" w:rsidRPr="00E96DCE" w:rsidRDefault="00E96DCE" w:rsidP="00FD250D">
      <w:pPr>
        <w:rPr>
          <w:rFonts w:ascii="Arial" w:hAnsi="Arial" w:cs="Arial"/>
          <w:sz w:val="20"/>
          <w:szCs w:val="20"/>
        </w:rPr>
      </w:pPr>
    </w:p>
    <w:p w:rsidR="00FD250D" w:rsidRPr="00E96DCE" w:rsidRDefault="00FD250D" w:rsidP="00E96DCE">
      <w:pPr>
        <w:rPr>
          <w:rFonts w:ascii="Arial" w:hAnsi="Arial" w:cs="Arial"/>
          <w:b/>
          <w:sz w:val="20"/>
          <w:szCs w:val="20"/>
        </w:rPr>
      </w:pPr>
      <w:r w:rsidRPr="00E96DCE">
        <w:rPr>
          <w:rFonts w:ascii="Arial" w:hAnsi="Arial" w:cs="Arial"/>
          <w:b/>
          <w:sz w:val="20"/>
          <w:szCs w:val="20"/>
        </w:rPr>
        <w:t>Notes on series used:</w:t>
      </w:r>
    </w:p>
    <w:p w:rsidR="00596E63" w:rsidRPr="00E96DCE" w:rsidRDefault="00596E63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sz w:val="20"/>
          <w:szCs w:val="20"/>
        </w:rPr>
      </w:pPr>
      <w:r w:rsidRPr="00E96DCE">
        <w:rPr>
          <w:rFonts w:ascii="Arial" w:eastAsia="Times New Roman" w:hAnsi="Arial" w:cs="Arial"/>
          <w:bCs/>
          <w:sz w:val="20"/>
          <w:szCs w:val="20"/>
        </w:rPr>
        <w:t>Start date selected by me for all series is January 1, 1964.</w:t>
      </w:r>
    </w:p>
    <w:p w:rsidR="00CA706E" w:rsidRPr="00E96DCE" w:rsidRDefault="00D53DFC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sz w:val="20"/>
          <w:szCs w:val="20"/>
        </w:rPr>
        <w:t>Corporate profit after tax and corporate profit before tax both include Inventory Valuation Adjustment (IVA)</w:t>
      </w:r>
      <w:r w:rsidR="00FD250D" w:rsidRPr="00E96DCE">
        <w:rPr>
          <w:rFonts w:ascii="Arial" w:eastAsia="Times New Roman" w:hAnsi="Arial" w:cs="Arial"/>
          <w:sz w:val="20"/>
          <w:szCs w:val="20"/>
        </w:rPr>
        <w:t xml:space="preserve"> and </w:t>
      </w:r>
      <w:r w:rsidRPr="00E96DCE">
        <w:rPr>
          <w:rFonts w:ascii="Arial" w:eastAsia="Times New Roman" w:hAnsi="Arial" w:cs="Arial"/>
          <w:sz w:val="20"/>
          <w:szCs w:val="20"/>
        </w:rPr>
        <w:t>Capital Consumption Adjustment (</w:t>
      </w:r>
      <w:proofErr w:type="spellStart"/>
      <w:r w:rsidRPr="00E96DCE">
        <w:rPr>
          <w:rFonts w:ascii="Arial" w:eastAsia="Times New Roman" w:hAnsi="Arial" w:cs="Arial"/>
          <w:sz w:val="20"/>
          <w:szCs w:val="20"/>
        </w:rPr>
        <w:t>CCAdj</w:t>
      </w:r>
      <w:proofErr w:type="spellEnd"/>
      <w:r w:rsidRPr="00E96DCE">
        <w:rPr>
          <w:rFonts w:ascii="Arial" w:eastAsia="Times New Roman" w:hAnsi="Arial" w:cs="Arial"/>
          <w:sz w:val="20"/>
          <w:szCs w:val="20"/>
        </w:rPr>
        <w:t xml:space="preserve">) and are found in </w:t>
      </w:r>
      <w:r w:rsidR="00E96DCE" w:rsidRPr="00E96DCE">
        <w:rPr>
          <w:rFonts w:ascii="Arial" w:eastAsia="Times New Roman" w:hAnsi="Arial" w:cs="Arial"/>
          <w:sz w:val="20"/>
          <w:szCs w:val="20"/>
        </w:rPr>
        <w:t xml:space="preserve">NIPA table 1.12 </w:t>
      </w:r>
    </w:p>
    <w:p w:rsidR="00CA706E" w:rsidRPr="00E96DCE" w:rsidRDefault="00FD250D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sz w:val="20"/>
          <w:szCs w:val="20"/>
        </w:rPr>
        <w:t>Non-reside</w:t>
      </w:r>
      <w:r w:rsidR="00CA706E" w:rsidRPr="00E96DCE">
        <w:rPr>
          <w:rFonts w:ascii="Arial" w:eastAsia="Times New Roman" w:hAnsi="Arial" w:cs="Arial"/>
          <w:sz w:val="20"/>
          <w:szCs w:val="20"/>
        </w:rPr>
        <w:t>ntial private fixed investment from NIPA table 5.3.5</w:t>
      </w:r>
      <w:r w:rsidRPr="00E96DCE">
        <w:rPr>
          <w:rFonts w:ascii="Arial" w:eastAsia="Times New Roman" w:hAnsi="Arial" w:cs="Arial"/>
          <w:sz w:val="20"/>
          <w:szCs w:val="20"/>
        </w:rPr>
        <w:t xml:space="preserve"> </w:t>
      </w:r>
      <w:r w:rsidR="00D53DFC" w:rsidRPr="00E96DCE">
        <w:rPr>
          <w:rFonts w:ascii="Arial" w:eastAsia="Times New Roman" w:hAnsi="Arial" w:cs="Arial"/>
          <w:sz w:val="20"/>
          <w:szCs w:val="20"/>
        </w:rPr>
        <w:t xml:space="preserve">is used. </w:t>
      </w:r>
    </w:p>
    <w:p w:rsidR="00FD250D" w:rsidRPr="00E96DCE" w:rsidRDefault="00FD250D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sz w:val="20"/>
          <w:szCs w:val="20"/>
        </w:rPr>
        <w:t>Net Domestic Product (NDP), equal to gross domestic product (GDP) less consumption of fixed capital (CF</w:t>
      </w:r>
      <w:r w:rsidR="00D53DFC" w:rsidRPr="00E96DCE">
        <w:rPr>
          <w:rFonts w:ascii="Arial" w:eastAsia="Times New Roman" w:hAnsi="Arial" w:cs="Arial"/>
          <w:sz w:val="20"/>
          <w:szCs w:val="20"/>
        </w:rPr>
        <w:t>C) is f</w:t>
      </w:r>
      <w:r w:rsidRPr="00E96DCE">
        <w:rPr>
          <w:rFonts w:ascii="Arial" w:eastAsia="Times New Roman" w:hAnsi="Arial" w:cs="Arial"/>
          <w:sz w:val="20"/>
          <w:szCs w:val="20"/>
        </w:rPr>
        <w:t xml:space="preserve">ound as </w:t>
      </w:r>
      <w:r w:rsidR="00596E63" w:rsidRPr="00E96DCE">
        <w:rPr>
          <w:rFonts w:ascii="Arial" w:eastAsia="Times New Roman" w:hAnsi="Arial" w:cs="Arial"/>
          <w:sz w:val="20"/>
          <w:szCs w:val="20"/>
        </w:rPr>
        <w:t xml:space="preserve">an </w:t>
      </w:r>
      <w:r w:rsidRPr="00E96DCE">
        <w:rPr>
          <w:rFonts w:ascii="Arial" w:eastAsia="Times New Roman" w:hAnsi="Arial" w:cs="Arial"/>
          <w:sz w:val="20"/>
          <w:szCs w:val="20"/>
        </w:rPr>
        <w:t>addenda item in GDP News Release Table 3.</w:t>
      </w:r>
    </w:p>
    <w:p w:rsidR="00596E63" w:rsidRPr="00E96DCE" w:rsidRDefault="00596E63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sz w:val="20"/>
          <w:szCs w:val="20"/>
        </w:rPr>
        <w:t>All series are retrieved initially as nominal and seasonally adjusted at an annual rate.</w:t>
      </w:r>
    </w:p>
    <w:p w:rsidR="00596E63" w:rsidRPr="00E96DCE" w:rsidRDefault="00596E63" w:rsidP="00E96DC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0"/>
          <w:szCs w:val="20"/>
        </w:rPr>
      </w:pPr>
      <w:r w:rsidRPr="00E96DCE">
        <w:rPr>
          <w:rFonts w:ascii="Arial" w:eastAsia="Times New Roman" w:hAnsi="Arial" w:cs="Arial"/>
          <w:bCs/>
          <w:sz w:val="20"/>
          <w:szCs w:val="20"/>
        </w:rPr>
        <w:t>‘National’ corporate profits are used rather than ‘domestic’, which I believe is customary.</w:t>
      </w:r>
      <w:r w:rsidRPr="00E96DC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E96DCE">
        <w:rPr>
          <w:rFonts w:ascii="Arial" w:eastAsia="Times New Roman" w:hAnsi="Arial" w:cs="Arial"/>
          <w:sz w:val="20"/>
          <w:szCs w:val="20"/>
        </w:rPr>
        <w:t xml:space="preserve">From the BEA: “The profits component of domestic income excludes the income earned abroad by U.S. corporations and includes the income earned in the United States by foreign </w:t>
      </w:r>
      <w:proofErr w:type="gramStart"/>
      <w:r w:rsidRPr="00E96DCE">
        <w:rPr>
          <w:rFonts w:ascii="Arial" w:eastAsia="Times New Roman" w:hAnsi="Arial" w:cs="Arial"/>
          <w:sz w:val="20"/>
          <w:szCs w:val="20"/>
        </w:rPr>
        <w:t>residents“</w:t>
      </w:r>
      <w:proofErr w:type="gramEnd"/>
    </w:p>
    <w:p w:rsidR="00E96DCE" w:rsidRDefault="00596E63" w:rsidP="00E96DCE">
      <w:p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b/>
          <w:sz w:val="20"/>
          <w:szCs w:val="20"/>
        </w:rPr>
        <w:t xml:space="preserve">Technical </w:t>
      </w:r>
      <w:r w:rsidR="00CA706E" w:rsidRPr="00E96DCE">
        <w:rPr>
          <w:rFonts w:ascii="Arial" w:eastAsia="Times New Roman" w:hAnsi="Arial" w:cs="Arial"/>
          <w:b/>
          <w:sz w:val="20"/>
          <w:szCs w:val="20"/>
        </w:rPr>
        <w:t>Note</w:t>
      </w:r>
      <w:r w:rsidRPr="00E96DCE">
        <w:rPr>
          <w:rFonts w:ascii="Arial" w:eastAsia="Times New Roman" w:hAnsi="Arial" w:cs="Arial"/>
          <w:b/>
          <w:sz w:val="20"/>
          <w:szCs w:val="20"/>
        </w:rPr>
        <w:t>s</w:t>
      </w:r>
      <w:r w:rsidR="00CA706E" w:rsidRPr="00E96DCE">
        <w:rPr>
          <w:rFonts w:ascii="Arial" w:eastAsia="Times New Roman" w:hAnsi="Arial" w:cs="Arial"/>
          <w:b/>
          <w:sz w:val="20"/>
          <w:szCs w:val="20"/>
        </w:rPr>
        <w:t>:</w:t>
      </w:r>
      <w:r w:rsidR="00CA706E" w:rsidRPr="00E96DCE">
        <w:rPr>
          <w:rFonts w:ascii="Arial" w:eastAsia="Times New Roman" w:hAnsi="Arial" w:cs="Arial"/>
          <w:sz w:val="20"/>
          <w:szCs w:val="20"/>
        </w:rPr>
        <w:t xml:space="preserve"> </w:t>
      </w:r>
    </w:p>
    <w:p w:rsidR="00CA706E" w:rsidRPr="00E96DCE" w:rsidRDefault="00CA706E" w:rsidP="00E96DC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E96DCE">
        <w:rPr>
          <w:rFonts w:ascii="Arial" w:eastAsia="Times New Roman" w:hAnsi="Arial" w:cs="Arial"/>
          <w:sz w:val="20"/>
          <w:szCs w:val="20"/>
        </w:rPr>
        <w:t xml:space="preserve">I </w:t>
      </w:r>
      <w:proofErr w:type="gramStart"/>
      <w:r w:rsidRPr="00E96DCE">
        <w:rPr>
          <w:rFonts w:ascii="Arial" w:eastAsia="Times New Roman" w:hAnsi="Arial" w:cs="Arial"/>
          <w:sz w:val="20"/>
          <w:szCs w:val="20"/>
        </w:rPr>
        <w:t>actually used</w:t>
      </w:r>
      <w:proofErr w:type="gramEnd"/>
      <w:r w:rsidRPr="00E96DCE">
        <w:rPr>
          <w:rFonts w:ascii="Arial" w:eastAsia="Times New Roman" w:hAnsi="Arial" w:cs="Arial"/>
          <w:sz w:val="20"/>
          <w:szCs w:val="20"/>
        </w:rPr>
        <w:t xml:space="preserve"> FRED to get the data and cross-checked the </w:t>
      </w:r>
      <w:r w:rsidR="00596E63" w:rsidRPr="00E96DCE">
        <w:rPr>
          <w:rFonts w:ascii="Arial" w:eastAsia="Times New Roman" w:hAnsi="Arial" w:cs="Arial"/>
          <w:sz w:val="20"/>
          <w:szCs w:val="20"/>
        </w:rPr>
        <w:t>FRED data</w:t>
      </w:r>
      <w:r w:rsidRPr="00E96DCE">
        <w:rPr>
          <w:rFonts w:ascii="Arial" w:eastAsia="Times New Roman" w:hAnsi="Arial" w:cs="Arial"/>
          <w:sz w:val="20"/>
          <w:szCs w:val="20"/>
        </w:rPr>
        <w:t xml:space="preserve"> against the BEA’</w:t>
      </w:r>
      <w:r w:rsidR="00596E63" w:rsidRPr="00E96DCE">
        <w:rPr>
          <w:rFonts w:ascii="Arial" w:eastAsia="Times New Roman" w:hAnsi="Arial" w:cs="Arial"/>
          <w:sz w:val="20"/>
          <w:szCs w:val="20"/>
        </w:rPr>
        <w:t>s interactive tables to confirm that the same series were used.</w:t>
      </w:r>
    </w:p>
    <w:p w:rsidR="00FD250D" w:rsidRPr="00E96DCE" w:rsidRDefault="00912378" w:rsidP="00E96DC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6DCE">
        <w:rPr>
          <w:rFonts w:ascii="Arial" w:hAnsi="Arial" w:cs="Arial"/>
          <w:sz w:val="20"/>
          <w:szCs w:val="20"/>
        </w:rPr>
        <w:t xml:space="preserve">I've completed the initial inquiry in a way that allows very quick adjustment if you would prefer that I use a different series for any component (for example, corporate profits without IVA and </w:t>
      </w:r>
      <w:proofErr w:type="spellStart"/>
      <w:r w:rsidRPr="00E96DCE">
        <w:rPr>
          <w:rFonts w:ascii="Arial" w:hAnsi="Arial" w:cs="Arial"/>
          <w:sz w:val="20"/>
          <w:szCs w:val="20"/>
        </w:rPr>
        <w:t>CCAdj</w:t>
      </w:r>
      <w:proofErr w:type="spellEnd"/>
      <w:r w:rsidRPr="00E96DCE">
        <w:rPr>
          <w:rFonts w:ascii="Arial" w:hAnsi="Arial" w:cs="Arial"/>
          <w:sz w:val="20"/>
          <w:szCs w:val="20"/>
        </w:rPr>
        <w:t>).</w:t>
      </w:r>
      <w:r w:rsidR="003E4D83" w:rsidRPr="00E96DCE">
        <w:rPr>
          <w:rFonts w:ascii="Arial" w:hAnsi="Arial" w:cs="Arial"/>
          <w:sz w:val="20"/>
          <w:szCs w:val="20"/>
        </w:rPr>
        <w:t xml:space="preserve"> (</w:t>
      </w:r>
      <w:hyperlink r:id="rId8" w:history="1">
        <w:r w:rsidR="003E4D83" w:rsidRPr="00E96DCE">
          <w:rPr>
            <w:rStyle w:val="Hyperlink"/>
            <w:rFonts w:ascii="Arial" w:hAnsi="Arial" w:cs="Arial"/>
            <w:sz w:val="20"/>
            <w:szCs w:val="20"/>
          </w:rPr>
          <w:t>Link to code</w:t>
        </w:r>
      </w:hyperlink>
      <w:r w:rsidR="003E4D83" w:rsidRPr="00E96DCE">
        <w:rPr>
          <w:rFonts w:ascii="Arial" w:hAnsi="Arial" w:cs="Arial"/>
          <w:sz w:val="20"/>
          <w:szCs w:val="20"/>
        </w:rPr>
        <w:t>)</w:t>
      </w:r>
    </w:p>
    <w:sectPr w:rsidR="00FD250D" w:rsidRPr="00E9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5007"/>
    <w:multiLevelType w:val="hybridMultilevel"/>
    <w:tmpl w:val="69AE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6F75"/>
    <w:multiLevelType w:val="hybridMultilevel"/>
    <w:tmpl w:val="441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95289"/>
    <w:multiLevelType w:val="hybridMultilevel"/>
    <w:tmpl w:val="374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0D"/>
    <w:rsid w:val="00022D52"/>
    <w:rsid w:val="00086BDE"/>
    <w:rsid w:val="00345B6D"/>
    <w:rsid w:val="003E4D83"/>
    <w:rsid w:val="00596E63"/>
    <w:rsid w:val="00912378"/>
    <w:rsid w:val="00CA706E"/>
    <w:rsid w:val="00D53DFC"/>
    <w:rsid w:val="00E96DCE"/>
    <w:rsid w:val="00F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35A8"/>
  <w15:chartTrackingRefBased/>
  <w15:docId w15:val="{2121117E-4D85-4B78-92D7-ED1B561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D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6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econ/Python/blob/master/CEPR/Profit-Investment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15F2-7E68-4C3E-B577-475F0C8D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6</cp:revision>
  <dcterms:created xsi:type="dcterms:W3CDTF">2017-06-06T21:08:00Z</dcterms:created>
  <dcterms:modified xsi:type="dcterms:W3CDTF">2017-06-06T22:00:00Z</dcterms:modified>
</cp:coreProperties>
</file>