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C73" w:rsidRPr="00FE276C" w:rsidRDefault="00E21D3F">
      <w:pPr>
        <w:rPr>
          <w:b/>
        </w:rPr>
      </w:pPr>
      <w:r w:rsidRPr="00FE276C">
        <w:rPr>
          <w:b/>
        </w:rPr>
        <w:t>If Valuations Are Correct, Amazon’s Day 2 Looks Monopolistic</w:t>
      </w:r>
    </w:p>
    <w:p w:rsidR="00E21D3F" w:rsidRDefault="00E21D3F">
      <w:r>
        <w:t xml:space="preserve">Amazon is not your typical company. The CEO, Jeff Bezos, describes the business strategy as a perpetual </w:t>
      </w:r>
      <w:r w:rsidRPr="003D2EAD">
        <w:t>“</w:t>
      </w:r>
      <w:hyperlink r:id="rId7" w:history="1">
        <w:r w:rsidRPr="003D2EAD">
          <w:rPr>
            <w:rStyle w:val="Hyperlink"/>
          </w:rPr>
          <w:t>Day 1</w:t>
        </w:r>
      </w:hyperlink>
      <w:r w:rsidRPr="003D2EAD">
        <w:t>”</w:t>
      </w:r>
      <w:r w:rsidR="00FB4A76" w:rsidRPr="003D2EAD">
        <w:rPr>
          <w:rStyle w:val="FootnoteReference"/>
        </w:rPr>
        <w:footnoteReference w:id="1"/>
      </w:r>
      <w:r w:rsidRPr="003D2EAD">
        <w:t xml:space="preserve"> where the company </w:t>
      </w:r>
      <w:r w:rsidR="00FB4A76" w:rsidRPr="003D2EAD">
        <w:t xml:space="preserve">retains its start-up mentality and its </w:t>
      </w:r>
      <w:r w:rsidRPr="003D2EAD">
        <w:t>focus remains on the long term.</w:t>
      </w:r>
      <w:r>
        <w:t xml:space="preserve"> Profits are </w:t>
      </w:r>
      <w:r w:rsidR="00E04A59">
        <w:t xml:space="preserve">therefore </w:t>
      </w:r>
      <w:r>
        <w:t xml:space="preserve">re-invested rather than </w:t>
      </w:r>
      <w:r w:rsidR="00BF15AE">
        <w:t xml:space="preserve">retained or </w:t>
      </w:r>
      <w:r>
        <w:t xml:space="preserve">paid out in dividends, as the company seeks to keep </w:t>
      </w:r>
      <w:r w:rsidR="00FB4A76">
        <w:t>expanding</w:t>
      </w:r>
      <w:r>
        <w:t>. Investors</w:t>
      </w:r>
      <w:r w:rsidR="00FB4A76">
        <w:t xml:space="preserve"> </w:t>
      </w:r>
      <w:r>
        <w:t xml:space="preserve">are very much on board with this strategy and their valuation of the company suggests that if </w:t>
      </w:r>
      <w:r w:rsidR="00FB4A76">
        <w:t>“</w:t>
      </w:r>
      <w:r>
        <w:t>Day 2</w:t>
      </w:r>
      <w:r w:rsidR="00FB4A76">
        <w:t>”</w:t>
      </w:r>
      <w:r>
        <w:t xml:space="preserve"> does arrive, it will look like nothing we have ever seen before.</w:t>
      </w:r>
    </w:p>
    <w:p w:rsidR="00112BF1" w:rsidRDefault="00E21D3F">
      <w:r>
        <w:t xml:space="preserve">Illustrating this point does not require complicated financial analysis. Let’s first look at how Amazon’s current valuation and profitability compare with other companies. </w:t>
      </w:r>
      <w:r w:rsidR="00112BF1">
        <w:t xml:space="preserve">Amazon’s </w:t>
      </w:r>
      <w:hyperlink r:id="rId8" w:history="1">
        <w:r w:rsidR="00112BF1" w:rsidRPr="00112BF1">
          <w:rPr>
            <w:rStyle w:val="Hyperlink"/>
          </w:rPr>
          <w:t>2017 Q1 financial results</w:t>
        </w:r>
      </w:hyperlink>
      <w:r w:rsidR="00112BF1">
        <w:t xml:space="preserve"> show net income of $2.6 billion dollars over the twelve months ending March 31. On a per share</w:t>
      </w:r>
      <w:r w:rsidR="00112BF1">
        <w:rPr>
          <w:rStyle w:val="FootnoteReference"/>
        </w:rPr>
        <w:footnoteReference w:id="2"/>
      </w:r>
      <w:r w:rsidR="00112BF1">
        <w:t xml:space="preserve"> basis, the company generated $5.31 in profit. </w:t>
      </w:r>
      <w:r w:rsidR="00BF15AE">
        <w:t>On</w:t>
      </w:r>
      <w:r w:rsidR="00112BF1">
        <w:t xml:space="preserve"> March 31, the price of one share of Amazon common stock was $886.54, resulting in a price to earnings ratio of 167</w:t>
      </w:r>
      <w:r w:rsidR="00AD153F">
        <w:t>.</w:t>
      </w:r>
      <w:bookmarkStart w:id="0" w:name="_GoBack"/>
      <w:bookmarkEnd w:id="0"/>
      <w:r w:rsidR="00AD153F">
        <w:t xml:space="preserve"> Among all S&amp;P 500 companies</w:t>
      </w:r>
      <w:r w:rsidR="00112BF1">
        <w:t xml:space="preserve">, the </w:t>
      </w:r>
      <w:r w:rsidR="00AD153F">
        <w:t>average price to earnings ratio is 25.9</w:t>
      </w:r>
      <w:r w:rsidR="00AD153F">
        <w:rPr>
          <w:rStyle w:val="FootnoteReference"/>
        </w:rPr>
        <w:footnoteReference w:id="3"/>
      </w:r>
      <w:r w:rsidR="00AD153F">
        <w:t xml:space="preserve">. This means that investors are paying a </w:t>
      </w:r>
      <w:r w:rsidR="00112BF1">
        <w:t xml:space="preserve">hefty premium for Amazon stock, based presumably on the expectation of higher future </w:t>
      </w:r>
      <w:r w:rsidR="00BF15AE">
        <w:t>return</w:t>
      </w:r>
      <w:r w:rsidR="00112BF1">
        <w:t>s.</w:t>
      </w:r>
    </w:p>
    <w:p w:rsidR="00CC4CCA" w:rsidRDefault="00074B77">
      <w:r>
        <w:t xml:space="preserve">Since its last quarterly report, the Amazon </w:t>
      </w:r>
      <w:r w:rsidR="00CC4CCA">
        <w:t>share price</w:t>
      </w:r>
      <w:r>
        <w:t xml:space="preserve"> has increased more than 12% to over $1000. If we work backward from price, what would the profits and revenue look like if Amazon were valued similarly to a standard company? If Amazon, at $1000 a share, were to have a price to earnings ratio of 20, its earnings would need to increase nearly tenfold to $50 a share, or </w:t>
      </w:r>
      <w:r w:rsidR="00BF15AE">
        <w:t>$</w:t>
      </w:r>
      <w:r>
        <w:t xml:space="preserve">24.5 billion dollars a year. </w:t>
      </w:r>
      <w:r w:rsidR="00735AFF">
        <w:t xml:space="preserve">Based on the company’s current net profit margin of two percent, more than 1.2 trillion dollars in revenue is required to generate 24.5 billion dollars of profit. To put this into context, this is nearly two and a half times greater than Walmart’s 2016 revenue, which was </w:t>
      </w:r>
      <w:r w:rsidR="0051504F">
        <w:t>the largest of any company</w:t>
      </w:r>
      <w:r w:rsidR="00CC4CCA">
        <w:t>, and equivalent to 6.7% of GDP</w:t>
      </w:r>
      <w:r w:rsidR="0051504F">
        <w:t xml:space="preserve">. </w:t>
      </w:r>
      <w:r w:rsidR="00735AFF">
        <w:t xml:space="preserve">While this analysis is a bit simplistic, it intends to show that </w:t>
      </w:r>
      <w:r w:rsidR="0051504F">
        <w:t xml:space="preserve">Amazon’s current valuation, if correct, predicts an unprecedented situation. </w:t>
      </w:r>
    </w:p>
    <w:p w:rsidR="00CC4CCA" w:rsidRPr="00CC4CCA" w:rsidRDefault="00484696">
      <w:pPr>
        <w:rPr>
          <w:sz w:val="20"/>
        </w:rPr>
      </w:pPr>
      <w:r>
        <w:rPr>
          <w:noProof/>
        </w:rPr>
        <w:lastRenderedPageBreak/>
        <mc:AlternateContent>
          <mc:Choice Requires="wpg">
            <w:drawing>
              <wp:anchor distT="0" distB="0" distL="114300" distR="114300" simplePos="0" relativeHeight="251659264" behindDoc="0" locked="0" layoutInCell="1" allowOverlap="1" wp14:anchorId="0DDAD297" wp14:editId="1ECDB2CA">
                <wp:simplePos x="0" y="0"/>
                <wp:positionH relativeFrom="column">
                  <wp:posOffset>0</wp:posOffset>
                </wp:positionH>
                <wp:positionV relativeFrom="paragraph">
                  <wp:posOffset>266700</wp:posOffset>
                </wp:positionV>
                <wp:extent cx="4198620" cy="4050030"/>
                <wp:effectExtent l="0" t="0" r="0" b="7620"/>
                <wp:wrapTopAndBottom/>
                <wp:docPr id="5" name="Group 4">
                  <a:extLst xmlns:a="http://schemas.openxmlformats.org/drawingml/2006/main">
                    <a:ext uri="{FF2B5EF4-FFF2-40B4-BE49-F238E27FC236}">
                      <a16:creationId xmlns:a16="http://schemas.microsoft.com/office/drawing/2014/main" id="{98B9E57F-EDD0-4018-A30F-7F0FE18772AC}"/>
                    </a:ext>
                  </a:extLst>
                </wp:docPr>
                <wp:cNvGraphicFramePr/>
                <a:graphic xmlns:a="http://schemas.openxmlformats.org/drawingml/2006/main">
                  <a:graphicData uri="http://schemas.microsoft.com/office/word/2010/wordprocessingGroup">
                    <wpg:wgp>
                      <wpg:cNvGrpSpPr/>
                      <wpg:grpSpPr>
                        <a:xfrm>
                          <a:off x="0" y="0"/>
                          <a:ext cx="4198620" cy="4050030"/>
                          <a:chOff x="0" y="0"/>
                          <a:chExt cx="4198620" cy="4050030"/>
                        </a:xfrm>
                      </wpg:grpSpPr>
                      <wpg:graphicFrame>
                        <wpg:cNvPr id="2" name="Chart 2">
                          <a:extLst>
                            <a:ext uri="{FF2B5EF4-FFF2-40B4-BE49-F238E27FC236}">
                              <a16:creationId xmlns:a16="http://schemas.microsoft.com/office/drawing/2014/main" id="{995A0CB6-688F-42DC-97E5-B4CE02B31F10}"/>
                            </a:ext>
                          </a:extLst>
                        </wpg:cNvPr>
                        <wpg:cNvFrPr/>
                        <wpg:xfrm>
                          <a:off x="0" y="0"/>
                          <a:ext cx="4198620" cy="4050030"/>
                        </wpg:xfrm>
                        <a:graphic>
                          <a:graphicData uri="http://schemas.openxmlformats.org/drawingml/2006/chart">
                            <c:chart xmlns:c="http://schemas.openxmlformats.org/drawingml/2006/chart" xmlns:r="http://schemas.openxmlformats.org/officeDocument/2006/relationships" r:id="rId9"/>
                          </a:graphicData>
                        </a:graphic>
                      </wpg:graphicFrame>
                      <wps:wsp>
                        <wps:cNvPr id="3" name="TextBox 3">
                          <a:extLst>
                            <a:ext uri="{FF2B5EF4-FFF2-40B4-BE49-F238E27FC236}">
                              <a16:creationId xmlns:a16="http://schemas.microsoft.com/office/drawing/2014/main" id="{F5C305B4-5D8F-49CA-9609-62F9C2E089B8}"/>
                            </a:ext>
                          </a:extLst>
                        </wps:cNvPr>
                        <wps:cNvSpPr txBox="1"/>
                        <wps:spPr>
                          <a:xfrm>
                            <a:off x="1737360" y="979170"/>
                            <a:ext cx="2178050" cy="100584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wps:txbx>
                        <wps:bodyPr wrap="none" rtlCol="0" anchor="t">
                          <a:noAutofit/>
                        </wps:bodyPr>
                      </wps:wsp>
                    </wpg:wgp>
                  </a:graphicData>
                </a:graphic>
              </wp:anchor>
            </w:drawing>
          </mc:Choice>
          <mc:Fallback>
            <w:pict>
              <v:group w14:anchorId="0DDAD297" id="Group 4" o:spid="_x0000_s1026" style="position:absolute;margin-left:0;margin-top:21pt;width:330.6pt;height:318.9pt;z-index:251659264" coordsize="41986,40500"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width:42001;height:40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">
                  <v:imagedata r:id="rId10" o:title=""/>
                  <o:lock v:ext="edit" aspectratio="f"/>
                </v:shape>
                <v:shapetype id="_x0000_t202" coordsize="21600,21600" o:spt="202" path="m,l,21600r21600,l21600,xe">
                  <v:stroke joinstyle="miter"/>
                  <v:path gradientshapeok="t" o:connecttype="rect"/>
                </v:shapetype>
                <v:shape id="TextBox 3" o:spid="_x0000_s1028" type="#_x0000_t202" style="position:absolute;left:17373;top:9791;width:21781;height:10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v:textbox>
                </v:shape>
                <w10:wrap type="topAndBottom"/>
              </v:group>
            </w:pict>
          </mc:Fallback>
        </mc:AlternateContent>
      </w:r>
    </w:p>
    <w:p w:rsidR="00CC4CCA" w:rsidRDefault="00CC4CCA"/>
    <w:p w:rsidR="00671599" w:rsidRDefault="0051504F">
      <w:r>
        <w:t xml:space="preserve">Assuming Amazon eventually reaches a valuation comparable to most companies, let’s call this Day 2, there are three possible ways it got there. First, investors may have been overly optimistic. While uncertainty comes with investing, there don’t seem to be many people betting against Amazon. The short interest (the ratio of shared being sold short to total shares in the market) is just above </w:t>
      </w:r>
      <w:r w:rsidR="00671599">
        <w:t>1.3%</w:t>
      </w:r>
      <w:r>
        <w:t xml:space="preserve">, </w:t>
      </w:r>
      <w:r w:rsidR="00671599">
        <w:t xml:space="preserve">far below the 4.4% average for companies traded on the New York Stock Exchange. </w:t>
      </w:r>
    </w:p>
    <w:p w:rsidR="00735AFF" w:rsidRDefault="00BF15AE">
      <w:r>
        <w:t>A</w:t>
      </w:r>
      <w:r w:rsidR="00671599">
        <w:t xml:space="preserve"> second possibility is that Amazon’s valuation is correct and the company </w:t>
      </w:r>
      <w:r w:rsidR="00484696">
        <w:t xml:space="preserve">continues to gain market share and </w:t>
      </w:r>
      <w:r>
        <w:t xml:space="preserve">eventually </w:t>
      </w:r>
      <w:r w:rsidR="00671599">
        <w:t>generates revenue levels that have never been seen</w:t>
      </w:r>
      <w:r w:rsidR="00484696">
        <w:t xml:space="preserve"> before</w:t>
      </w:r>
      <w:r w:rsidR="00671599">
        <w:t xml:space="preserve">. Since revenue is </w:t>
      </w:r>
      <w:r w:rsidR="00D768F7">
        <w:t>equal to</w:t>
      </w:r>
      <w:r w:rsidR="00671599">
        <w:t xml:space="preserve"> price times quantity, it is possible that Amazon becomes the dominant suppl</w:t>
      </w:r>
      <w:r w:rsidR="00D768F7">
        <w:t>ier of more goods and services and obtains a higher revenue through a higher quantity of goods and services sold. To put context around the extent of market share gained required to make this true</w:t>
      </w:r>
      <w:r>
        <w:t>,</w:t>
      </w:r>
      <w:r w:rsidR="00D768F7">
        <w:t xml:space="preserve"> a revenue of $1.2 trillion would be exceed the 2015 Census Bureau estimate of all </w:t>
      </w:r>
      <w:r w:rsidR="00A868C1">
        <w:t>online</w:t>
      </w:r>
      <w:r w:rsidR="00D768F7">
        <w:t xml:space="preserve"> shopping</w:t>
      </w:r>
      <w:r w:rsidR="00FE276C">
        <w:t xml:space="preserve"> sales</w:t>
      </w:r>
      <w:r w:rsidR="00D768F7">
        <w:t xml:space="preserve"> ($434 </w:t>
      </w:r>
      <w:r w:rsidR="00FE276C">
        <w:t>b</w:t>
      </w:r>
      <w:r w:rsidR="00D768F7">
        <w:t xml:space="preserve">illion), grocery store sales ($613 </w:t>
      </w:r>
      <w:r w:rsidR="00FE276C">
        <w:t>b</w:t>
      </w:r>
      <w:r w:rsidR="00D768F7">
        <w:t xml:space="preserve">illion), and brick and mortar electronics and appliance store sales ($102 </w:t>
      </w:r>
      <w:r w:rsidR="00FE276C">
        <w:t>b</w:t>
      </w:r>
      <w:r w:rsidR="00D768F7">
        <w:t>illion). It’s an enormous sum.</w:t>
      </w:r>
      <w:r w:rsidR="00E04A59">
        <w:t xml:space="preserve"> Even if Amazon’s U.S. market share remains unchanged, the company has enormous potential to expand overseas, particularly if new </w:t>
      </w:r>
      <w:hyperlink r:id="rId11" w:history="1">
        <w:r w:rsidR="00E04A59" w:rsidRPr="00E04A59">
          <w:rPr>
            <w:rStyle w:val="Hyperlink"/>
          </w:rPr>
          <w:t>negotiations</w:t>
        </w:r>
      </w:hyperlink>
      <w:r w:rsidR="00E04A59">
        <w:t xml:space="preserve"> over e-commerce at the WTO proceed in the company’s favor.</w:t>
      </w:r>
    </w:p>
    <w:p w:rsidR="00D768F7" w:rsidRDefault="00D768F7">
      <w:r>
        <w:t>The</w:t>
      </w:r>
      <w:r w:rsidR="00FE276C">
        <w:t xml:space="preserve"> third possibility relates to the profit Amazon makes on each unit of sales. Currently its net profit margin of two percent is low, relative to other retailers but especially relative to other non-retail companies. Retailers of goods that can be easily transported tend to face lots of competition, which </w:t>
      </w:r>
      <w:r w:rsidR="00FB4A76">
        <w:lastRenderedPageBreak/>
        <w:t>keeps prices low and</w:t>
      </w:r>
      <w:r w:rsidR="00FE276C">
        <w:t xml:space="preserve"> results in slim profit margins. Amazon, with its particularly low profit margins, is often cited as driving down the</w:t>
      </w:r>
      <w:r w:rsidR="00E04A59">
        <w:t xml:space="preserve"> entire sector profit margins. Traditional b</w:t>
      </w:r>
      <w:r w:rsidR="00FE276C">
        <w:t xml:space="preserve">rick and mortar </w:t>
      </w:r>
      <w:r w:rsidR="00E04A59">
        <w:t>retailers</w:t>
      </w:r>
      <w:r w:rsidR="00FE276C">
        <w:t xml:space="preserve">, with </w:t>
      </w:r>
      <w:r w:rsidR="00D70BE6">
        <w:t xml:space="preserve">typically higher overhead, have been </w:t>
      </w:r>
      <w:hyperlink r:id="rId12" w:history="1">
        <w:r w:rsidR="00D70BE6" w:rsidRPr="00E04A59">
          <w:rPr>
            <w:rStyle w:val="Hyperlink"/>
          </w:rPr>
          <w:t>pushed</w:t>
        </w:r>
      </w:hyperlink>
      <w:r w:rsidR="00D70BE6">
        <w:t xml:space="preserve"> to lower prices to compete with Amazon. However, as brick and mortar stores continue to close</w:t>
      </w:r>
      <w:r w:rsidR="00D70BE6">
        <w:rPr>
          <w:rStyle w:val="FootnoteReference"/>
        </w:rPr>
        <w:footnoteReference w:id="4"/>
      </w:r>
      <w:r w:rsidR="00D70BE6">
        <w:t xml:space="preserve"> and as Amazon gains market share</w:t>
      </w:r>
      <w:r w:rsidR="00E04A59">
        <w:t xml:space="preserve"> (including by expanding its own brick and mortar operations, and</w:t>
      </w:r>
      <w:r w:rsidR="00D70BE6">
        <w:t xml:space="preserve"> as discussed above</w:t>
      </w:r>
      <w:r w:rsidR="00E04A59">
        <w:t>)</w:t>
      </w:r>
      <w:r w:rsidR="00D70BE6">
        <w:t xml:space="preserve">, the competitive price pressures ease. Less competition </w:t>
      </w:r>
      <w:r w:rsidR="00FB4A76">
        <w:t>allows for</w:t>
      </w:r>
      <w:r w:rsidR="00D70BE6">
        <w:t xml:space="preserve"> higher profit margins and higher prices. Amazon could potentially achieve a normal valuation level by increasing its revenue through increased profits from higher prices. </w:t>
      </w:r>
    </w:p>
    <w:p w:rsidR="00D70BE6" w:rsidRDefault="00984E3D">
      <w:r>
        <w:t>If investors are correct in how they value Amazon’s Day 2, then consumers’ stand to lose e</w:t>
      </w:r>
      <w:r w:rsidR="00BF15AE">
        <w:t>ither in number of choices or through higher</w:t>
      </w:r>
      <w:r>
        <w:t xml:space="preserve"> prices. </w:t>
      </w:r>
      <w:r w:rsidR="00BF15AE">
        <w:t xml:space="preserve">This is an important consideration for those heaping praise over the disruption </w:t>
      </w:r>
      <w:r w:rsidR="00CC4CCA">
        <w:t>by</w:t>
      </w:r>
      <w:r w:rsidR="00BF15AE">
        <w:t xml:space="preserve"> </w:t>
      </w:r>
      <w:r w:rsidR="00FB4A76">
        <w:t xml:space="preserve">Amazon and other large and rapidly growing </w:t>
      </w:r>
      <w:r w:rsidR="00BF15AE">
        <w:t xml:space="preserve">tech companies. </w:t>
      </w:r>
      <w:r>
        <w:t xml:space="preserve">  </w:t>
      </w:r>
    </w:p>
    <w:p w:rsidR="00D70BE6" w:rsidRDefault="00D70BE6"/>
    <w:p w:rsidR="00D70BE6" w:rsidRDefault="00D70BE6"/>
    <w:p w:rsidR="00735AFF" w:rsidRDefault="00735AFF"/>
    <w:p w:rsidR="00735AFF" w:rsidRDefault="00735AFF"/>
    <w:sectPr w:rsidR="00735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051" w:rsidRDefault="00260051" w:rsidP="00AD153F">
      <w:pPr>
        <w:spacing w:after="0" w:line="240" w:lineRule="auto"/>
      </w:pPr>
      <w:r>
        <w:separator/>
      </w:r>
    </w:p>
  </w:endnote>
  <w:endnote w:type="continuationSeparator" w:id="0">
    <w:p w:rsidR="00260051" w:rsidRDefault="00260051" w:rsidP="00AD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051" w:rsidRDefault="00260051" w:rsidP="00AD153F">
      <w:pPr>
        <w:spacing w:after="0" w:line="240" w:lineRule="auto"/>
      </w:pPr>
      <w:r>
        <w:separator/>
      </w:r>
    </w:p>
  </w:footnote>
  <w:footnote w:type="continuationSeparator" w:id="0">
    <w:p w:rsidR="00260051" w:rsidRDefault="00260051" w:rsidP="00AD153F">
      <w:pPr>
        <w:spacing w:after="0" w:line="240" w:lineRule="auto"/>
      </w:pPr>
      <w:r>
        <w:continuationSeparator/>
      </w:r>
    </w:p>
  </w:footnote>
  <w:footnote w:id="1">
    <w:p w:rsidR="00FB4A76" w:rsidRDefault="00FB4A76">
      <w:pPr>
        <w:pStyle w:val="FootnoteText"/>
      </w:pPr>
      <w:r>
        <w:rPr>
          <w:rStyle w:val="FootnoteReference"/>
        </w:rPr>
        <w:footnoteRef/>
      </w:r>
      <w:r>
        <w:t xml:space="preserve"> Day 1 is also the name given to Amazon’s headquarters building.</w:t>
      </w:r>
    </w:p>
  </w:footnote>
  <w:footnote w:id="2">
    <w:p w:rsidR="00112BF1" w:rsidRDefault="00112BF1">
      <w:pPr>
        <w:pStyle w:val="FootnoteText"/>
      </w:pPr>
      <w:r>
        <w:rPr>
          <w:rStyle w:val="FootnoteReference"/>
        </w:rPr>
        <w:footnoteRef/>
      </w:r>
      <w:r>
        <w:t xml:space="preserve"> Diluted earnings per share trailing twelve months</w:t>
      </w:r>
      <w:r w:rsidR="00FB4A76">
        <w:t>.</w:t>
      </w:r>
    </w:p>
  </w:footnote>
  <w:footnote w:id="3">
    <w:p w:rsidR="00AD153F" w:rsidRDefault="00AD153F">
      <w:pPr>
        <w:pStyle w:val="FootnoteText"/>
      </w:pPr>
      <w:r>
        <w:rPr>
          <w:rStyle w:val="FootnoteReference"/>
        </w:rPr>
        <w:footnoteRef/>
      </w:r>
      <w:r>
        <w:t xml:space="preserve"> The historical average PE ratio for S&amp;P 500 companies is 15.7</w:t>
      </w:r>
      <w:r w:rsidR="00FB4A76">
        <w:t>.</w:t>
      </w:r>
    </w:p>
  </w:footnote>
  <w:footnote w:id="4">
    <w:p w:rsidR="00D70BE6" w:rsidRDefault="00D70BE6">
      <w:pPr>
        <w:pStyle w:val="FootnoteText"/>
      </w:pPr>
      <w:r>
        <w:rPr>
          <w:rStyle w:val="FootnoteReference"/>
        </w:rPr>
        <w:footnoteRef/>
      </w:r>
      <w:r>
        <w:t xml:space="preserve"> See </w:t>
      </w:r>
      <w:hyperlink r:id="rId1" w:history="1">
        <w:r w:rsidRPr="00BF15AE">
          <w:rPr>
            <w:rStyle w:val="Hyperlink"/>
          </w:rPr>
          <w:t>work</w:t>
        </w:r>
      </w:hyperlink>
      <w:r>
        <w:t xml:space="preserve"> by </w:t>
      </w:r>
      <w:r w:rsidR="00BF15AE">
        <w:t xml:space="preserve">CEPR’s </w:t>
      </w:r>
      <w:r>
        <w:t xml:space="preserve">Eileen </w:t>
      </w:r>
      <w:proofErr w:type="spellStart"/>
      <w:r>
        <w:t>Appelbaum</w:t>
      </w:r>
      <w:proofErr w:type="spellEnd"/>
      <w:r>
        <w:t xml:space="preserve"> on the private equity explanation for several retail bankruptcies.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3F"/>
    <w:rsid w:val="00074B77"/>
    <w:rsid w:val="00112BF1"/>
    <w:rsid w:val="00260051"/>
    <w:rsid w:val="003D2EAD"/>
    <w:rsid w:val="00484696"/>
    <w:rsid w:val="0051504F"/>
    <w:rsid w:val="00543C73"/>
    <w:rsid w:val="00564E01"/>
    <w:rsid w:val="005E4BC3"/>
    <w:rsid w:val="00671599"/>
    <w:rsid w:val="00735AFF"/>
    <w:rsid w:val="00984E3D"/>
    <w:rsid w:val="00A522AB"/>
    <w:rsid w:val="00A868C1"/>
    <w:rsid w:val="00AD153F"/>
    <w:rsid w:val="00AD5DA0"/>
    <w:rsid w:val="00BF15AE"/>
    <w:rsid w:val="00CC4CCA"/>
    <w:rsid w:val="00D70BE6"/>
    <w:rsid w:val="00D768F7"/>
    <w:rsid w:val="00E04A59"/>
    <w:rsid w:val="00E21D3F"/>
    <w:rsid w:val="00FB4A76"/>
    <w:rsid w:val="00FE276C"/>
    <w:rsid w:val="00FE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7D16"/>
  <w15:chartTrackingRefBased/>
  <w15:docId w15:val="{9E7B4ECF-DA5A-48DD-B093-F801FD1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15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53F"/>
    <w:rPr>
      <w:sz w:val="20"/>
      <w:szCs w:val="20"/>
    </w:rPr>
  </w:style>
  <w:style w:type="character" w:styleId="FootnoteReference">
    <w:name w:val="footnote reference"/>
    <w:basedOn w:val="DefaultParagraphFont"/>
    <w:uiPriority w:val="99"/>
    <w:semiHidden/>
    <w:unhideWhenUsed/>
    <w:rsid w:val="00AD153F"/>
    <w:rPr>
      <w:vertAlign w:val="superscript"/>
    </w:rPr>
  </w:style>
  <w:style w:type="character" w:styleId="Hyperlink">
    <w:name w:val="Hyperlink"/>
    <w:basedOn w:val="DefaultParagraphFont"/>
    <w:uiPriority w:val="99"/>
    <w:unhideWhenUsed/>
    <w:rsid w:val="00112BF1"/>
    <w:rPr>
      <w:color w:val="0563C1" w:themeColor="hyperlink"/>
      <w:u w:val="single"/>
    </w:rPr>
  </w:style>
  <w:style w:type="character" w:styleId="Mention">
    <w:name w:val="Mention"/>
    <w:basedOn w:val="DefaultParagraphFont"/>
    <w:uiPriority w:val="99"/>
    <w:semiHidden/>
    <w:unhideWhenUsed/>
    <w:rsid w:val="00112BF1"/>
    <w:rPr>
      <w:color w:val="2B579A"/>
      <w:shd w:val="clear" w:color="auto" w:fill="E6E6E6"/>
    </w:rPr>
  </w:style>
  <w:style w:type="paragraph" w:styleId="NormalWeb">
    <w:name w:val="Normal (Web)"/>
    <w:basedOn w:val="Normal"/>
    <w:uiPriority w:val="99"/>
    <w:semiHidden/>
    <w:unhideWhenUsed/>
    <w:rsid w:val="00CC4CC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x.corporate-ir.net/External.File?item=UGFyZW50SUQ9NjY4MDE1fENoaWxkSUQ9Mzc1OTYyfFR5cGU9MQ==&amp;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investing/2017/04/13/jeff-bezos-says-it-will-always-be-day-1-at-amazon.aspx" TargetMode="External"/><Relationship Id="rId12" Type="http://schemas.openxmlformats.org/officeDocument/2006/relationships/hyperlink" Target="http://revenueanalytics.com/the-amazon-effect-has-changed-reta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uffingtonpost.com/entry/state-of-play-in-the-wto-toward-the-11th-ministerial_us_5951365ae4b0f078efd98399"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news.com/opinion/blogs/economic-intelligence/2012/11/05/private-equity-firms-need-new-rules-for-managing-companies-they-ow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FANGS\chart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27283726557774E-2"/>
          <c:y val="0.12037411177261378"/>
          <c:w val="0.93345432546884455"/>
          <c:h val="0.61728036582445056"/>
        </c:manualLayout>
      </c:layout>
      <c:barChart>
        <c:barDir val="col"/>
        <c:grouping val="stacked"/>
        <c:varyColors val="0"/>
        <c:ser>
          <c:idx val="0"/>
          <c:order val="0"/>
          <c:tx>
            <c:strRef>
              <c:f>Sheet1!$G$11</c:f>
              <c:strCache>
                <c:ptCount val="1"/>
                <c:pt idx="0">
                  <c:v>Amazon</c:v>
                </c:pt>
              </c:strCache>
            </c:strRef>
          </c:tx>
          <c:spPr>
            <a:solidFill>
              <a:schemeClr val="accent1">
                <a:lumMod val="50000"/>
              </a:schemeClr>
            </a:solidFill>
            <a:ln>
              <a:noFill/>
            </a:ln>
            <a:effectLst/>
          </c:spPr>
          <c:invertIfNegative val="0"/>
          <c:dPt>
            <c:idx val="1"/>
            <c:invertIfNegative val="0"/>
            <c:bubble3D val="0"/>
            <c:extLst>
              <c:ext xmlns:c16="http://schemas.microsoft.com/office/drawing/2014/chart" uri="{C3380CC4-5D6E-409C-BE32-E72D297353CC}">
                <c16:uniqueId val="{00000000-61D7-4017-A3D7-E4E2CD796854}"/>
              </c:ext>
            </c:extLst>
          </c:dPt>
          <c:dLbls>
            <c:numFmt formatCode="&quot;$&quot;#,##0.0&quot;B&quot;;\-#,##0.0&quot;B&quot;"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Verdana" panose="020B0604030504040204" pitchFamily="34" charset="0"/>
                    <a:ea typeface="Verdana" panose="020B0604030504040204" pitchFamily="34" charset="0"/>
                    <a:cs typeface="Verdana" panose="020B060403050404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Sheet1!$G$11:$G$12</c:f>
              <c:strCache>
                <c:ptCount val="2"/>
                <c:pt idx="0">
                  <c:v>Amazon</c:v>
                </c:pt>
                <c:pt idx="1">
                  <c:v>Walmart</c:v>
                </c:pt>
              </c:strCache>
            </c:strRef>
          </c:cat>
          <c:val>
            <c:numRef>
              <c:f>Sheet1!$H$11:$I$11</c:f>
              <c:numCache>
                <c:formatCode>General</c:formatCode>
                <c:ptCount val="2"/>
                <c:pt idx="0">
                  <c:v>136</c:v>
                </c:pt>
                <c:pt idx="1">
                  <c:v>485.6</c:v>
                </c:pt>
              </c:numCache>
            </c:numRef>
          </c:val>
          <c:extLst>
            <c:ext xmlns:c16="http://schemas.microsoft.com/office/drawing/2014/chart" uri="{C3380CC4-5D6E-409C-BE32-E72D297353CC}">
              <c16:uniqueId val="{00000001-61D7-4017-A3D7-E4E2CD796854}"/>
            </c:ext>
          </c:extLst>
        </c:ser>
        <c:ser>
          <c:idx val="1"/>
          <c:order val="1"/>
          <c:tx>
            <c:strRef>
              <c:f>Sheet1!$G$12</c:f>
              <c:strCache>
                <c:ptCount val="1"/>
                <c:pt idx="0">
                  <c:v>Walmart</c:v>
                </c:pt>
              </c:strCache>
            </c:strRef>
          </c:tx>
          <c:spPr>
            <a:solidFill>
              <a:schemeClr val="accent1">
                <a:lumMod val="60000"/>
                <a:lumOff val="40000"/>
              </a:schemeClr>
            </a:solidFill>
            <a:ln>
              <a:noFill/>
            </a:ln>
            <a:effectLst/>
          </c:spPr>
          <c:invertIfNegative val="0"/>
          <c:cat>
            <c:strRef>
              <c:f>Sheet1!$G$11:$G$12</c:f>
              <c:strCache>
                <c:ptCount val="2"/>
                <c:pt idx="0">
                  <c:v>Amazon</c:v>
                </c:pt>
                <c:pt idx="1">
                  <c:v>Walmart</c:v>
                </c:pt>
              </c:strCache>
            </c:strRef>
          </c:cat>
          <c:val>
            <c:numRef>
              <c:f>Sheet1!$H$12</c:f>
              <c:numCache>
                <c:formatCode>General</c:formatCode>
                <c:ptCount val="1"/>
                <c:pt idx="0">
                  <c:v>1089</c:v>
                </c:pt>
              </c:numCache>
            </c:numRef>
          </c:val>
          <c:extLst>
            <c:ext xmlns:c16="http://schemas.microsoft.com/office/drawing/2014/chart" uri="{C3380CC4-5D6E-409C-BE32-E72D297353CC}">
              <c16:uniqueId val="{00000002-61D7-4017-A3D7-E4E2CD796854}"/>
            </c:ext>
          </c:extLst>
        </c:ser>
        <c:dLbls>
          <c:showLegendKey val="0"/>
          <c:showVal val="0"/>
          <c:showCatName val="0"/>
          <c:showSerName val="0"/>
          <c:showPercent val="0"/>
          <c:showBubbleSize val="0"/>
        </c:dLbls>
        <c:gapWidth val="150"/>
        <c:overlap val="100"/>
        <c:axId val="412303616"/>
        <c:axId val="412304928"/>
      </c:barChart>
      <c:catAx>
        <c:axId val="41230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Verdana" panose="020B0604030504040204" pitchFamily="34" charset="0"/>
              </a:defRPr>
            </a:pPr>
            <a:endParaRPr lang="en-US"/>
          </a:p>
        </c:txPr>
        <c:crossAx val="412304928"/>
        <c:crosses val="autoZero"/>
        <c:auto val="1"/>
        <c:lblAlgn val="ctr"/>
        <c:lblOffset val="100"/>
        <c:noMultiLvlLbl val="0"/>
      </c:catAx>
      <c:valAx>
        <c:axId val="412304928"/>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412303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0.15608</cdr:x>
      <cdr:y>0.80648</cdr:y>
    </cdr:from>
    <cdr:to>
      <cdr:x>0.37387</cdr:x>
      <cdr:y>0.93136</cdr:y>
    </cdr:to>
    <cdr:sp macro="" textlink="">
      <cdr:nvSpPr>
        <cdr:cNvPr id="3" name="TextBox 2">
          <a:extLst xmlns:a="http://schemas.openxmlformats.org/drawingml/2006/main">
            <a:ext uri="{FF2B5EF4-FFF2-40B4-BE49-F238E27FC236}">
              <a16:creationId xmlns:a16="http://schemas.microsoft.com/office/drawing/2014/main" id="{BE2A82F7-195A-4A83-A038-6CE2F0798662}"/>
            </a:ext>
          </a:extLst>
        </cdr:cNvPr>
        <cdr:cNvSpPr txBox="1"/>
      </cdr:nvSpPr>
      <cdr:spPr>
        <a:xfrm xmlns:a="http://schemas.openxmlformats.org/drawingml/2006/main">
          <a:off x="655320" y="3266278"/>
          <a:ext cx="914400" cy="5057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167.0</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0.62916</cdr:x>
      <cdr:y>0.80284</cdr:y>
    </cdr:from>
    <cdr:to>
      <cdr:x>0.84694</cdr:x>
      <cdr:y>0.92771</cdr:y>
    </cdr:to>
    <cdr:sp macro="" textlink="">
      <cdr:nvSpPr>
        <cdr:cNvPr id="4" name="TextBox 1">
          <a:extLst xmlns:a="http://schemas.openxmlformats.org/drawingml/2006/main">
            <a:ext uri="{FF2B5EF4-FFF2-40B4-BE49-F238E27FC236}">
              <a16:creationId xmlns:a16="http://schemas.microsoft.com/office/drawing/2014/main" id="{CF915974-59BE-4DA5-8092-D00C80EA96B9}"/>
            </a:ext>
          </a:extLst>
        </cdr:cNvPr>
        <cdr:cNvSpPr txBox="1"/>
      </cdr:nvSpPr>
      <cdr:spPr>
        <a:xfrm xmlns:a="http://schemas.openxmlformats.org/drawingml/2006/main">
          <a:off x="2641600" y="3251507"/>
          <a:ext cx="914400" cy="5057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17.1</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0.00726</cdr:x>
      <cdr:y>0.92098</cdr:y>
    </cdr:from>
    <cdr:to>
      <cdr:x>0.22505</cdr:x>
      <cdr:y>1</cdr:y>
    </cdr:to>
    <cdr:sp macro="" textlink="">
      <cdr:nvSpPr>
        <cdr:cNvPr id="6" name="TextBox 5">
          <a:extLst xmlns:a="http://schemas.openxmlformats.org/drawingml/2006/main">
            <a:ext uri="{FF2B5EF4-FFF2-40B4-BE49-F238E27FC236}">
              <a16:creationId xmlns:a16="http://schemas.microsoft.com/office/drawing/2014/main" id="{59DCCC21-B849-40B3-B84F-925FC56A929B}"/>
            </a:ext>
          </a:extLst>
        </cdr:cNvPr>
        <cdr:cNvSpPr txBox="1"/>
      </cdr:nvSpPr>
      <cdr:spPr>
        <a:xfrm xmlns:a="http://schemas.openxmlformats.org/drawingml/2006/main">
          <a:off x="30480" y="3729990"/>
          <a:ext cx="914400" cy="3200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65000"/>
                  <a:lumOff val="35000"/>
                </a:schemeClr>
              </a:solidFill>
            </a:rPr>
            <a:t>Source: Company financial</a:t>
          </a:r>
          <a:r>
            <a:rPr lang="en-US" sz="1100" baseline="0">
              <a:solidFill>
                <a:schemeClr val="tx1">
                  <a:lumMod val="65000"/>
                  <a:lumOff val="35000"/>
                </a:schemeClr>
              </a:solidFill>
            </a:rPr>
            <a:t> statements, calculations CEPR</a:t>
          </a:r>
          <a:endParaRPr lang="en-US" sz="1100">
            <a:solidFill>
              <a:schemeClr val="tx1">
                <a:lumMod val="65000"/>
                <a:lumOff val="35000"/>
              </a:schemeClr>
            </a:solidFill>
          </a:endParaRPr>
        </a:p>
      </cdr:txBody>
    </cdr:sp>
  </cdr:relSizeAnchor>
  <cdr:relSizeAnchor xmlns:cdr="http://schemas.openxmlformats.org/drawingml/2006/chartDrawing">
    <cdr:from>
      <cdr:x>0.37205</cdr:x>
      <cdr:y>0.21543</cdr:y>
    </cdr:from>
    <cdr:to>
      <cdr:x>0.40109</cdr:x>
      <cdr:y>0.67262</cdr:y>
    </cdr:to>
    <cdr:sp macro="" textlink="">
      <cdr:nvSpPr>
        <cdr:cNvPr id="10" name="Right Brace 9">
          <a:extLst xmlns:a="http://schemas.openxmlformats.org/drawingml/2006/main">
            <a:ext uri="{FF2B5EF4-FFF2-40B4-BE49-F238E27FC236}">
              <a16:creationId xmlns:a16="http://schemas.microsoft.com/office/drawing/2014/main" id="{04AB3F01-C478-4223-80AA-289D6FCDD030}"/>
            </a:ext>
          </a:extLst>
        </cdr:cNvPr>
        <cdr:cNvSpPr/>
      </cdr:nvSpPr>
      <cdr:spPr>
        <a:xfrm xmlns:a="http://schemas.openxmlformats.org/drawingml/2006/main">
          <a:off x="1562100" y="872490"/>
          <a:ext cx="121920" cy="1851660"/>
        </a:xfrm>
        <a:prstGeom xmlns:a="http://schemas.openxmlformats.org/drawingml/2006/main" prst="rightBrace">
          <a:avLst/>
        </a:prstGeom>
        <a:ln xmlns:a="http://schemas.openxmlformats.org/drawingml/2006/main" w="19050">
          <a:solidFill>
            <a:schemeClr val="bg1">
              <a:lumMod val="6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0.01815</cdr:x>
      <cdr:y>0.01599</cdr:y>
    </cdr:from>
    <cdr:to>
      <cdr:x>0.93648</cdr:x>
      <cdr:y>0.20226</cdr:y>
    </cdr:to>
    <cdr:sp macro="" textlink="">
      <cdr:nvSpPr>
        <cdr:cNvPr id="11" name="TextBox 10">
          <a:extLst xmlns:a="http://schemas.openxmlformats.org/drawingml/2006/main">
            <a:ext uri="{FF2B5EF4-FFF2-40B4-BE49-F238E27FC236}">
              <a16:creationId xmlns:a16="http://schemas.microsoft.com/office/drawing/2014/main" id="{918147A1-43C5-44FE-B049-53B36FE6DF60}"/>
            </a:ext>
          </a:extLst>
        </cdr:cNvPr>
        <cdr:cNvSpPr txBox="1"/>
      </cdr:nvSpPr>
      <cdr:spPr>
        <a:xfrm xmlns:a="http://schemas.openxmlformats.org/drawingml/2006/main">
          <a:off x="76200" y="64770"/>
          <a:ext cx="3855720" cy="7543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Amazon and Walmart Revenue</a:t>
          </a:r>
          <a:endParaRPr lang="en-US" sz="14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a:t>
          </a:r>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2016 actual annual revenue and additional amount </a:t>
          </a:r>
        </a:p>
        <a:p xmlns:a="http://schemas.openxmlformats.org/drawingml/2006/main">
          <a:pPr rtl="0"/>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required to achieve a more standard valuation</a:t>
          </a:r>
          <a:endParaRPr lang="en-US" sz="10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CE321-31CD-4958-8A89-E1357F2F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3</cp:revision>
  <dcterms:created xsi:type="dcterms:W3CDTF">2017-07-13T20:13:00Z</dcterms:created>
  <dcterms:modified xsi:type="dcterms:W3CDTF">2017-07-13T20:16:00Z</dcterms:modified>
</cp:coreProperties>
</file>