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565" w:rsidRPr="00F01565" w:rsidRDefault="00F01565">
      <w:pPr>
        <w:rPr>
          <w:b/>
        </w:rPr>
      </w:pPr>
      <w:r w:rsidRPr="00F01565">
        <w:rPr>
          <w:b/>
        </w:rPr>
        <w:t xml:space="preserve">Access to paid sick days </w:t>
      </w:r>
      <w:r>
        <w:rPr>
          <w:b/>
        </w:rPr>
        <w:t>shows encouraging increase according to</w:t>
      </w:r>
      <w:r w:rsidRPr="00F01565">
        <w:rPr>
          <w:b/>
        </w:rPr>
        <w:t xml:space="preserve"> BLS estimates</w:t>
      </w:r>
    </w:p>
    <w:p w:rsidR="00F871F4" w:rsidRDefault="00454783">
      <w:r>
        <w:t xml:space="preserve">Since 2014, </w:t>
      </w:r>
      <w:r w:rsidR="001E1D67">
        <w:t xml:space="preserve">14 million workers have gained access to paid sick days. The expansion of access has been particularly strong for part-time workers and </w:t>
      </w:r>
      <w:r w:rsidR="00F871F4">
        <w:t>those</w:t>
      </w:r>
      <w:r w:rsidR="001E1D67">
        <w:t xml:space="preserve"> earning low wages. Since 2014, nearly 2.7 million part time workers have obtained paid sick days. Over the same period, more than 4.6 million workers in the lowest </w:t>
      </w:r>
      <w:r w:rsidR="00F871F4">
        <w:t xml:space="preserve">income </w:t>
      </w:r>
      <w:r w:rsidR="001E1D67">
        <w:t>quartile (those earning $12.86 per hour or less in 2017) have gained access.</w:t>
      </w:r>
    </w:p>
    <w:p w:rsidR="00454783" w:rsidRPr="00F01565" w:rsidRDefault="00F871F4">
      <w:pPr>
        <w:rPr>
          <w:u w:val="single"/>
        </w:rPr>
      </w:pPr>
      <w:r w:rsidRPr="00F01565">
        <w:rPr>
          <w:u w:val="single"/>
        </w:rPr>
        <w:t>Calculations:</w:t>
      </w:r>
    </w:p>
    <w:p w:rsidR="001E1D67" w:rsidRDefault="00454783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182880</wp:posOffset>
            </wp:positionH>
            <wp:positionV relativeFrom="paragraph">
              <wp:posOffset>3616960</wp:posOffset>
            </wp:positionV>
            <wp:extent cx="4793395" cy="2888230"/>
            <wp:effectExtent l="0" t="0" r="762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2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71F4">
        <w:t>2014: 65% of total civilian workers (tota</w:t>
      </w:r>
      <w:bookmarkStart w:id="0" w:name="_GoBack"/>
      <w:bookmarkEnd w:id="0"/>
      <w:r w:rsidR="00F871F4">
        <w:t>l=128,093,600) or 83,260,840 have access</w:t>
      </w:r>
    </w:p>
    <w:p w:rsidR="00F871F4" w:rsidRDefault="00F871F4">
      <w:r>
        <w:t>2017: 72% of total civilian workers (total=135,130,100) or 97,293,672 have access</w:t>
      </w:r>
    </w:p>
    <w:p w:rsidR="00F871F4" w:rsidRDefault="00F871F4">
      <w:r>
        <w:t>Difference is 14,032,832 additional workers with access</w:t>
      </w:r>
    </w:p>
    <w:p w:rsidR="00F871F4" w:rsidRDefault="00F871F4">
      <w:r>
        <w:t xml:space="preserve">Part-time is trickier, since BLS doesn’t indicate the share of total civilian workers that are part time. However, from other BLS series, </w:t>
      </w:r>
      <w:r w:rsidR="00F01565">
        <w:t>roughly 19</w:t>
      </w:r>
      <w:r>
        <w:t xml:space="preserve"> percent of workers were part time (35 hours or fewer per week) in 2014 and roughly 18 percent in 2017. This estimate applied to the totals above yields:</w:t>
      </w:r>
    </w:p>
    <w:p w:rsidR="00F871F4" w:rsidRDefault="00F871F4">
      <w:r>
        <w:t>2014: 25% of part time workers (total = 24,315,939) or 6,078,984 have access</w:t>
      </w:r>
    </w:p>
    <w:p w:rsidR="00F871F4" w:rsidRDefault="00F871F4">
      <w:r>
        <w:t>2017: 36% of part time workers (total = 24,379,059) or 8,776,461 have access</w:t>
      </w:r>
    </w:p>
    <w:p w:rsidR="00F871F4" w:rsidRDefault="00F871F4">
      <w:r>
        <w:t>Difference is 2,697,476 additional workers with access (rough estimate</w:t>
      </w:r>
      <w:r w:rsidR="00F01565">
        <w:t xml:space="preserve"> so around 2.7m</w:t>
      </w:r>
      <w:r>
        <w:t xml:space="preserve">) </w:t>
      </w:r>
    </w:p>
    <w:p w:rsidR="00F01565" w:rsidRDefault="00F01565">
      <w:r>
        <w:t>For the bottom quartile I just used 25% of the total number of civilian workers as the denominator:</w:t>
      </w:r>
    </w:p>
    <w:p w:rsidR="00F01565" w:rsidRDefault="00F01565">
      <w:r>
        <w:t>2014: 34% of the bottom quartile wage earners (total = 32,023,400) or 10,887,956 have access</w:t>
      </w:r>
    </w:p>
    <w:p w:rsidR="00F01565" w:rsidRDefault="00F01565">
      <w:r>
        <w:t>2017: 46% of the bottom quartile wage earners (total = 33,782,525) or 15,539,961 have access</w:t>
      </w:r>
    </w:p>
    <w:p w:rsidR="00F01565" w:rsidRDefault="00F01565">
      <w:r>
        <w:t xml:space="preserve">Difference is 4,652,005 additional workers with access. </w:t>
      </w:r>
    </w:p>
    <w:p w:rsidR="00F01565" w:rsidRDefault="00F01565"/>
    <w:p w:rsidR="001E1D67" w:rsidRDefault="00454783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-15240</wp:posOffset>
            </wp:positionH>
            <wp:positionV relativeFrom="paragraph">
              <wp:posOffset>0</wp:posOffset>
            </wp:positionV>
            <wp:extent cx="5676900" cy="46863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563880</wp:posOffset>
            </wp:positionH>
            <wp:positionV relativeFrom="paragraph">
              <wp:posOffset>4679950</wp:posOffset>
            </wp:positionV>
            <wp:extent cx="4634865" cy="3543300"/>
            <wp:effectExtent l="0" t="0" r="13335" b="0"/>
            <wp:wrapSquare wrapText="bothSides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</w:p>
    <w:p w:rsidR="001E1D67" w:rsidRPr="001E1D67" w:rsidRDefault="001E1D67" w:rsidP="001E1D67"/>
    <w:p w:rsidR="001E1D67" w:rsidRPr="001E1D67" w:rsidRDefault="001E1D67" w:rsidP="001E1D67"/>
    <w:p w:rsidR="001E1D67" w:rsidRPr="001E1D67" w:rsidRDefault="001E1D67" w:rsidP="001E1D67"/>
    <w:p w:rsidR="001E1D67" w:rsidRPr="001E1D67" w:rsidRDefault="001E1D67" w:rsidP="001E1D67"/>
    <w:p w:rsidR="001E1D67" w:rsidRPr="001E1D67" w:rsidRDefault="001E1D67" w:rsidP="001E1D67"/>
    <w:p w:rsidR="001E1D67" w:rsidRPr="001E1D67" w:rsidRDefault="001E1D67" w:rsidP="001E1D67"/>
    <w:p w:rsidR="001E1D67" w:rsidRPr="001E1D67" w:rsidRDefault="001E1D67" w:rsidP="001E1D67"/>
    <w:p w:rsidR="001E1D67" w:rsidRPr="001E1D67" w:rsidRDefault="001E1D67" w:rsidP="001E1D67"/>
    <w:p w:rsidR="001E1D67" w:rsidRPr="001E1D67" w:rsidRDefault="001E1D67" w:rsidP="001E1D67"/>
    <w:p w:rsidR="001E1D67" w:rsidRDefault="001E1D67" w:rsidP="001E1D67"/>
    <w:p w:rsidR="001E1D67" w:rsidRDefault="001E1D67">
      <w:r>
        <w:br w:type="page"/>
      </w:r>
    </w:p>
    <w:tbl>
      <w:tblPr>
        <w:tblpPr w:leftFromText="180" w:rightFromText="180" w:horzAnchor="margin" w:tblpY="420"/>
        <w:tblW w:w="6120" w:type="dxa"/>
        <w:tblLook w:val="04A0" w:firstRow="1" w:lastRow="0" w:firstColumn="1" w:lastColumn="0" w:noHBand="0" w:noVBand="1"/>
      </w:tblPr>
      <w:tblGrid>
        <w:gridCol w:w="1080"/>
        <w:gridCol w:w="2700"/>
        <w:gridCol w:w="1080"/>
        <w:gridCol w:w="1260"/>
      </w:tblGrid>
      <w:tr w:rsidR="001E1D67" w:rsidRPr="001E1D67" w:rsidTr="00F871F4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D67">
              <w:rPr>
                <w:rFonts w:ascii="Calibri" w:eastAsia="Times New Roman" w:hAnsi="Calibri" w:cs="Calibri"/>
                <w:color w:val="000000"/>
              </w:rPr>
              <w:lastRenderedPageBreak/>
              <w:t>Law_Year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Location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D67">
              <w:rPr>
                <w:rFonts w:ascii="Calibri" w:eastAsia="Times New Roman" w:hAnsi="Calibri" w:cs="Calibri"/>
                <w:color w:val="000000"/>
              </w:rPr>
              <w:t>sID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</w:tr>
      <w:tr w:rsidR="001E1D67" w:rsidRPr="001E1D67" w:rsidTr="00F871F4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San Francisco, CA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City</w:t>
            </w:r>
          </w:p>
        </w:tc>
      </w:tr>
      <w:tr w:rsidR="001E1D67" w:rsidRPr="001E1D67" w:rsidTr="00F871F4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2008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Washington, DC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DC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City</w:t>
            </w:r>
          </w:p>
        </w:tc>
      </w:tr>
      <w:tr w:rsidR="001E1D67" w:rsidRPr="001E1D67" w:rsidTr="00F871F4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2011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Seattle, WA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WA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City</w:t>
            </w:r>
          </w:p>
        </w:tc>
      </w:tr>
      <w:tr w:rsidR="001E1D67" w:rsidRPr="001E1D67" w:rsidTr="00F871F4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2013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New York, NY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NY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City</w:t>
            </w:r>
          </w:p>
        </w:tc>
      </w:tr>
      <w:tr w:rsidR="001E1D67" w:rsidRPr="001E1D67" w:rsidTr="00F871F4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2013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Jersey City, NJ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NJ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City</w:t>
            </w:r>
          </w:p>
        </w:tc>
      </w:tr>
      <w:tr w:rsidR="001E1D67" w:rsidRPr="001E1D67" w:rsidTr="00F871F4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2013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Portland, OR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OR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City</w:t>
            </w:r>
          </w:p>
        </w:tc>
      </w:tr>
      <w:tr w:rsidR="001E1D67" w:rsidRPr="001E1D67" w:rsidTr="00F871F4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2014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Oakland, CA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City</w:t>
            </w:r>
          </w:p>
        </w:tc>
      </w:tr>
      <w:tr w:rsidR="001E1D67" w:rsidRPr="001E1D67" w:rsidTr="00F871F4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2014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Newark, NJ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NJ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City</w:t>
            </w:r>
          </w:p>
        </w:tc>
      </w:tr>
      <w:tr w:rsidR="001E1D67" w:rsidRPr="001E1D67" w:rsidTr="00F871F4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2014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East Orange, NJ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NJ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City</w:t>
            </w:r>
          </w:p>
        </w:tc>
      </w:tr>
      <w:tr w:rsidR="001E1D67" w:rsidRPr="001E1D67" w:rsidTr="00F871F4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2014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Irvington, NJ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NJ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City</w:t>
            </w:r>
          </w:p>
        </w:tc>
      </w:tr>
      <w:tr w:rsidR="001E1D67" w:rsidRPr="001E1D67" w:rsidTr="00F871F4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2014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Passaic, NJ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NJ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City</w:t>
            </w:r>
          </w:p>
        </w:tc>
      </w:tr>
      <w:tr w:rsidR="001E1D67" w:rsidRPr="001E1D67" w:rsidTr="00F871F4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2014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Paterson, NJ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NJ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City</w:t>
            </w:r>
          </w:p>
        </w:tc>
      </w:tr>
      <w:tr w:rsidR="001E1D67" w:rsidRPr="001E1D67" w:rsidTr="00F871F4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2014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Montclair, NJ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NJ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City</w:t>
            </w:r>
          </w:p>
        </w:tc>
      </w:tr>
      <w:tr w:rsidR="001E1D67" w:rsidRPr="001E1D67" w:rsidTr="00F871F4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2014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Trenton, NJ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NJ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City</w:t>
            </w:r>
          </w:p>
        </w:tc>
      </w:tr>
      <w:tr w:rsidR="001E1D67" w:rsidRPr="001E1D67" w:rsidTr="00F871F4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2015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Emeryville, CA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City</w:t>
            </w:r>
          </w:p>
        </w:tc>
      </w:tr>
      <w:tr w:rsidR="001E1D67" w:rsidRPr="001E1D67" w:rsidTr="00F871F4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2015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Bloomfield, NJ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NJ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City</w:t>
            </w:r>
          </w:p>
        </w:tc>
      </w:tr>
      <w:tr w:rsidR="001E1D67" w:rsidRPr="001E1D67" w:rsidTr="00F871F4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2015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Elizabeth, NJ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NJ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City</w:t>
            </w:r>
          </w:p>
        </w:tc>
      </w:tr>
      <w:tr w:rsidR="001E1D67" w:rsidRPr="001E1D67" w:rsidTr="00F871F4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2015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New Brunswick, NJ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NJ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City</w:t>
            </w:r>
          </w:p>
        </w:tc>
      </w:tr>
      <w:tr w:rsidR="001E1D67" w:rsidRPr="001E1D67" w:rsidTr="00F871F4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2015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Philadelphia, PA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PA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City</w:t>
            </w:r>
          </w:p>
        </w:tc>
      </w:tr>
      <w:tr w:rsidR="001E1D67" w:rsidRPr="001E1D67" w:rsidTr="00F871F4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2015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Pittsburgh, PA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PA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City</w:t>
            </w:r>
          </w:p>
        </w:tc>
      </w:tr>
      <w:tr w:rsidR="001E1D67" w:rsidRPr="001E1D67" w:rsidTr="00F871F4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2015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Tacoma, WA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WA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City</w:t>
            </w:r>
          </w:p>
        </w:tc>
      </w:tr>
      <w:tr w:rsidR="001E1D67" w:rsidRPr="001E1D67" w:rsidTr="00F871F4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2016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Los Angeles, CA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City</w:t>
            </w:r>
          </w:p>
        </w:tc>
      </w:tr>
      <w:tr w:rsidR="001E1D67" w:rsidRPr="001E1D67" w:rsidTr="00F871F4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2016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Santa Monica, CA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City</w:t>
            </w:r>
          </w:p>
        </w:tc>
      </w:tr>
      <w:tr w:rsidR="001E1D67" w:rsidRPr="001E1D67" w:rsidTr="00F871F4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2016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Plainfield, NJ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NJ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City</w:t>
            </w:r>
          </w:p>
        </w:tc>
      </w:tr>
      <w:tr w:rsidR="001E1D67" w:rsidRPr="001E1D67" w:rsidTr="00F871F4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2016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Spokane, WA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WA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City</w:t>
            </w:r>
          </w:p>
        </w:tc>
      </w:tr>
      <w:tr w:rsidR="001E1D67" w:rsidRPr="001E1D67" w:rsidTr="00F871F4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2016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Minneapolis, MN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MN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City</w:t>
            </w:r>
          </w:p>
        </w:tc>
      </w:tr>
      <w:tr w:rsidR="001E1D67" w:rsidRPr="001E1D67" w:rsidTr="00F871F4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2016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San Diego, CA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City</w:t>
            </w:r>
          </w:p>
        </w:tc>
      </w:tr>
      <w:tr w:rsidR="001E1D67" w:rsidRPr="001E1D67" w:rsidTr="00F871F4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2016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Chicago, IL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IL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City</w:t>
            </w:r>
          </w:p>
        </w:tc>
      </w:tr>
      <w:tr w:rsidR="001E1D67" w:rsidRPr="001E1D67" w:rsidTr="00F871F4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2016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Berkeley, CA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City</w:t>
            </w:r>
          </w:p>
        </w:tc>
      </w:tr>
      <w:tr w:rsidR="001E1D67" w:rsidRPr="001E1D67" w:rsidTr="00F871F4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2016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St. Paul, MN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MN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City</w:t>
            </w:r>
          </w:p>
        </w:tc>
      </w:tr>
      <w:tr w:rsidR="001E1D67" w:rsidRPr="001E1D67" w:rsidTr="00F871F4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2016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Morristown, NJ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NJ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City</w:t>
            </w:r>
          </w:p>
        </w:tc>
      </w:tr>
      <w:tr w:rsidR="001E1D67" w:rsidRPr="001E1D67" w:rsidTr="00F871F4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2011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Connecticut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CT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State</w:t>
            </w:r>
          </w:p>
        </w:tc>
      </w:tr>
      <w:tr w:rsidR="001E1D67" w:rsidRPr="001E1D67" w:rsidTr="00F871F4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2014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California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State</w:t>
            </w:r>
          </w:p>
        </w:tc>
      </w:tr>
      <w:tr w:rsidR="001E1D67" w:rsidRPr="001E1D67" w:rsidTr="00F871F4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2014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Massachusetts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MA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State</w:t>
            </w:r>
          </w:p>
        </w:tc>
      </w:tr>
      <w:tr w:rsidR="001E1D67" w:rsidRPr="001E1D67" w:rsidTr="00F871F4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2015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Oregon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OR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State</w:t>
            </w:r>
          </w:p>
        </w:tc>
      </w:tr>
      <w:tr w:rsidR="001E1D67" w:rsidRPr="001E1D67" w:rsidTr="00F871F4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2016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Vermont</w:t>
            </w:r>
            <w:r w:rsidR="00F01565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VT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State</w:t>
            </w:r>
          </w:p>
        </w:tc>
      </w:tr>
      <w:tr w:rsidR="001E1D67" w:rsidRPr="001E1D67" w:rsidTr="00F871F4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2016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Washington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WA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State</w:t>
            </w:r>
          </w:p>
        </w:tc>
      </w:tr>
      <w:tr w:rsidR="001E1D67" w:rsidRPr="001E1D67" w:rsidTr="00F871F4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2016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Arizona</w:t>
            </w:r>
            <w:r w:rsidR="00F01565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AZ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State</w:t>
            </w:r>
          </w:p>
        </w:tc>
      </w:tr>
      <w:tr w:rsidR="001E1D67" w:rsidRPr="001E1D67" w:rsidTr="00F871F4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2015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Montgomery Co., MD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MD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County</w:t>
            </w:r>
          </w:p>
        </w:tc>
      </w:tr>
      <w:tr w:rsidR="001E1D67" w:rsidRPr="001E1D67" w:rsidTr="00F871F4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2016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Cook Co., IL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IL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D67" w:rsidRPr="001E1D67" w:rsidRDefault="001E1D67" w:rsidP="00F8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D67">
              <w:rPr>
                <w:rFonts w:ascii="Calibri" w:eastAsia="Times New Roman" w:hAnsi="Calibri" w:cs="Calibri"/>
                <w:color w:val="000000"/>
              </w:rPr>
              <w:t>County</w:t>
            </w:r>
          </w:p>
        </w:tc>
      </w:tr>
      <w:tr w:rsidR="00F01565" w:rsidRPr="001E1D67" w:rsidTr="00F871F4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1565" w:rsidRDefault="00F01565" w:rsidP="00F8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  <w:p w:rsidR="00F01565" w:rsidRPr="00F01565" w:rsidRDefault="00F01565" w:rsidP="00F015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1565" w:rsidRPr="001E1D67" w:rsidRDefault="00F01565" w:rsidP="00F8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*Goes into effect fully in 2018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1565" w:rsidRPr="001E1D67" w:rsidRDefault="00F01565" w:rsidP="00F8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1565" w:rsidRPr="001E1D67" w:rsidRDefault="00F01565" w:rsidP="00F8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F01565" w:rsidRDefault="00F871F4" w:rsidP="001E1D67">
      <w:pPr>
        <w:rPr>
          <w:b/>
        </w:rPr>
      </w:pPr>
      <w:r w:rsidRPr="00F871F4">
        <w:rPr>
          <w:b/>
        </w:rPr>
        <w:t>The wins from Family Values @ Work</w:t>
      </w:r>
      <w:r>
        <w:rPr>
          <w:b/>
        </w:rPr>
        <w:t xml:space="preserve"> (jurisdictions that have passed PSD laws)</w:t>
      </w:r>
    </w:p>
    <w:p w:rsidR="00F01565" w:rsidRPr="00F01565" w:rsidRDefault="00F01565" w:rsidP="00F01565"/>
    <w:p w:rsidR="00F01565" w:rsidRPr="00F01565" w:rsidRDefault="00F01565" w:rsidP="00F01565"/>
    <w:p w:rsidR="00F01565" w:rsidRPr="00F01565" w:rsidRDefault="00F01565" w:rsidP="00F01565"/>
    <w:p w:rsidR="00F01565" w:rsidRPr="00F01565" w:rsidRDefault="00F01565" w:rsidP="00F01565"/>
    <w:p w:rsidR="00F01565" w:rsidRPr="00F01565" w:rsidRDefault="00F01565" w:rsidP="00F01565"/>
    <w:p w:rsidR="00F01565" w:rsidRPr="00F01565" w:rsidRDefault="00F01565" w:rsidP="00F01565"/>
    <w:p w:rsidR="00F01565" w:rsidRPr="00F01565" w:rsidRDefault="00F01565" w:rsidP="00F01565"/>
    <w:p w:rsidR="00F01565" w:rsidRPr="00F01565" w:rsidRDefault="00F01565" w:rsidP="00F01565"/>
    <w:p w:rsidR="00F01565" w:rsidRPr="00F01565" w:rsidRDefault="00F01565" w:rsidP="00F01565"/>
    <w:p w:rsidR="00F01565" w:rsidRPr="00F01565" w:rsidRDefault="00F01565" w:rsidP="00F01565"/>
    <w:p w:rsidR="00F01565" w:rsidRPr="00F01565" w:rsidRDefault="00F01565" w:rsidP="00F01565"/>
    <w:p w:rsidR="00F01565" w:rsidRPr="00F01565" w:rsidRDefault="00F01565" w:rsidP="00F01565"/>
    <w:p w:rsidR="00F01565" w:rsidRPr="00F01565" w:rsidRDefault="00F01565" w:rsidP="00F01565"/>
    <w:p w:rsidR="00F01565" w:rsidRPr="00F01565" w:rsidRDefault="00F01565" w:rsidP="00F01565"/>
    <w:p w:rsidR="00F01565" w:rsidRDefault="00F01565" w:rsidP="00F01565"/>
    <w:p w:rsidR="00F01565" w:rsidRDefault="00F01565">
      <w:r>
        <w:br w:type="page"/>
      </w:r>
    </w:p>
    <w:p w:rsidR="00F01565" w:rsidRDefault="00F01565" w:rsidP="00F0156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Links to the PDF reports:</w:t>
      </w:r>
    </w:p>
    <w:p w:rsidR="00F01565" w:rsidRDefault="00F01565" w:rsidP="00F01565">
      <w:pPr>
        <w:pStyle w:val="NormalWeb"/>
        <w:spacing w:before="0" w:beforeAutospacing="0" w:after="0" w:afterAutospacing="0"/>
      </w:pPr>
      <w:hyperlink r:id="rId10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March 2010</w:t>
        </w:r>
      </w:hyperlink>
    </w:p>
    <w:p w:rsidR="00F01565" w:rsidRDefault="00F01565" w:rsidP="00F01565">
      <w:pPr>
        <w:pStyle w:val="NormalWeb"/>
        <w:spacing w:before="0" w:beforeAutospacing="0" w:after="0" w:afterAutospacing="0"/>
      </w:pPr>
      <w:hyperlink r:id="rId11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March 2011</w:t>
        </w:r>
      </w:hyperlink>
    </w:p>
    <w:p w:rsidR="00F01565" w:rsidRDefault="00F01565" w:rsidP="00F01565">
      <w:pPr>
        <w:pStyle w:val="NormalWeb"/>
        <w:spacing w:before="0" w:beforeAutospacing="0" w:after="0" w:afterAutospacing="0"/>
      </w:pPr>
      <w:hyperlink r:id="rId12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March 2012</w:t>
        </w:r>
      </w:hyperlink>
    </w:p>
    <w:p w:rsidR="00F01565" w:rsidRDefault="00F01565" w:rsidP="00F01565">
      <w:pPr>
        <w:pStyle w:val="NormalWeb"/>
        <w:spacing w:before="0" w:beforeAutospacing="0" w:after="0" w:afterAutospacing="0"/>
      </w:pPr>
      <w:hyperlink r:id="rId13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March 2013</w:t>
        </w:r>
      </w:hyperlink>
    </w:p>
    <w:p w:rsidR="00F01565" w:rsidRDefault="00F01565" w:rsidP="00F01565">
      <w:pPr>
        <w:pStyle w:val="NormalWeb"/>
        <w:spacing w:before="0" w:beforeAutospacing="0" w:after="0" w:afterAutospacing="0"/>
      </w:pPr>
      <w:hyperlink r:id="rId14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March 2014</w:t>
        </w:r>
      </w:hyperlink>
    </w:p>
    <w:p w:rsidR="00F01565" w:rsidRDefault="00F01565" w:rsidP="00F01565">
      <w:pPr>
        <w:pStyle w:val="NormalWeb"/>
        <w:spacing w:before="0" w:beforeAutospacing="0" w:after="0" w:afterAutospacing="0"/>
      </w:pPr>
      <w:hyperlink r:id="rId15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March 2015</w:t>
        </w:r>
      </w:hyperlink>
    </w:p>
    <w:p w:rsidR="00F01565" w:rsidRDefault="00F01565" w:rsidP="00F01565">
      <w:pPr>
        <w:pStyle w:val="NormalWeb"/>
        <w:spacing w:before="0" w:beforeAutospacing="0" w:after="0" w:afterAutospacing="0"/>
      </w:pPr>
      <w:hyperlink r:id="rId16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March 2016</w:t>
        </w:r>
      </w:hyperlink>
    </w:p>
    <w:p w:rsidR="00F01565" w:rsidRDefault="00F01565" w:rsidP="00F01565">
      <w:pPr>
        <w:pStyle w:val="NormalWeb"/>
        <w:spacing w:before="0" w:beforeAutospacing="0" w:after="0" w:afterAutospacing="0"/>
      </w:pPr>
      <w:hyperlink r:id="rId17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March 2017</w:t>
        </w:r>
      </w:hyperlink>
    </w:p>
    <w:p w:rsidR="00454783" w:rsidRPr="00F01565" w:rsidRDefault="00454783" w:rsidP="00F01565">
      <w:pPr>
        <w:jc w:val="center"/>
      </w:pPr>
    </w:p>
    <w:sectPr w:rsidR="00454783" w:rsidRPr="00F01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1C54" w:rsidRDefault="00BB1C54" w:rsidP="00F871F4">
      <w:pPr>
        <w:spacing w:after="0" w:line="240" w:lineRule="auto"/>
      </w:pPr>
      <w:r>
        <w:separator/>
      </w:r>
    </w:p>
  </w:endnote>
  <w:endnote w:type="continuationSeparator" w:id="0">
    <w:p w:rsidR="00BB1C54" w:rsidRDefault="00BB1C54" w:rsidP="00F87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1C54" w:rsidRDefault="00BB1C54" w:rsidP="00F871F4">
      <w:pPr>
        <w:spacing w:after="0" w:line="240" w:lineRule="auto"/>
      </w:pPr>
      <w:r>
        <w:separator/>
      </w:r>
    </w:p>
  </w:footnote>
  <w:footnote w:type="continuationSeparator" w:id="0">
    <w:p w:rsidR="00BB1C54" w:rsidRDefault="00BB1C54" w:rsidP="00F871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14753"/>
    <w:multiLevelType w:val="hybridMultilevel"/>
    <w:tmpl w:val="7004B2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169CB"/>
    <w:multiLevelType w:val="hybridMultilevel"/>
    <w:tmpl w:val="71FEAAB2"/>
    <w:lvl w:ilvl="0" w:tplc="B0C0573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9C3A90"/>
    <w:multiLevelType w:val="hybridMultilevel"/>
    <w:tmpl w:val="B29CAAF2"/>
    <w:lvl w:ilvl="0" w:tplc="7896ABB4">
      <w:start w:val="1"/>
      <w:numFmt w:val="bullet"/>
      <w:lvlText w:val=""/>
      <w:lvlJc w:val="left"/>
      <w:pPr>
        <w:ind w:left="408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3" w15:restartNumberingAfterBreak="0">
    <w:nsid w:val="726B31BA"/>
    <w:multiLevelType w:val="hybridMultilevel"/>
    <w:tmpl w:val="A39AF928"/>
    <w:lvl w:ilvl="0" w:tplc="F17EFF1C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783"/>
    <w:rsid w:val="001E1D67"/>
    <w:rsid w:val="00454783"/>
    <w:rsid w:val="00543C73"/>
    <w:rsid w:val="005E4BC3"/>
    <w:rsid w:val="00BB1C54"/>
    <w:rsid w:val="00F01565"/>
    <w:rsid w:val="00F8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BC14A"/>
  <w15:chartTrackingRefBased/>
  <w15:docId w15:val="{2784E3ED-0465-43DE-9EE5-2B5CA207D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7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7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1F4"/>
  </w:style>
  <w:style w:type="paragraph" w:styleId="Footer">
    <w:name w:val="footer"/>
    <w:basedOn w:val="Normal"/>
    <w:link w:val="FooterChar"/>
    <w:uiPriority w:val="99"/>
    <w:unhideWhenUsed/>
    <w:rsid w:val="00F87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1F4"/>
  </w:style>
  <w:style w:type="paragraph" w:styleId="NormalWeb">
    <w:name w:val="Normal (Web)"/>
    <w:basedOn w:val="Normal"/>
    <w:uiPriority w:val="99"/>
    <w:semiHidden/>
    <w:unhideWhenUsed/>
    <w:rsid w:val="00F01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015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bls.gov/ncs/ebs/benefits/2013/ebbl0052.pdf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bls.gov/ncs/ebs/benefits/2012/ebbl0050.pdf" TargetMode="External"/><Relationship Id="rId17" Type="http://schemas.openxmlformats.org/officeDocument/2006/relationships/hyperlink" Target="https://www.bls.gov/news.release/pdf/ebs2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ls.gov/ncs/ebs/benefits/2016/ebbl0059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ls.gov/ncs/ebs/benefits/2011/ebbl0048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bls.gov/ncs/ebs/benefits/2015/ebbl0057.pdf" TargetMode="External"/><Relationship Id="rId10" Type="http://schemas.openxmlformats.org/officeDocument/2006/relationships/hyperlink" Target="https://www.bls.gov/ncs/ebs/benefits/2010/ebbl0046.pdf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hyperlink" Target="https://www.bls.gov/ncs/ebs/benefits/2014/ebbl0055.pdf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Working\Python\PSD\wins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4.8005928975277598E-2"/>
          <c:y val="0.25712527869500185"/>
          <c:w val="0.92171616649028587"/>
          <c:h val="0.50281997008438462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rgbClr val="00206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wins!$E$1:$P$1</c:f>
              <c:numCache>
                <c:formatCode>General</c:formatCode>
                <c:ptCount val="12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  <c:pt idx="9">
                  <c:v>2014</c:v>
                </c:pt>
                <c:pt idx="10">
                  <c:v>2015</c:v>
                </c:pt>
                <c:pt idx="11">
                  <c:v>2016</c:v>
                </c:pt>
              </c:numCache>
            </c:numRef>
          </c:cat>
          <c:val>
            <c:numRef>
              <c:f>wins!$E$43:$P$43</c:f>
              <c:numCache>
                <c:formatCode>0.0</c:formatCode>
                <c:ptCount val="12"/>
                <c:pt idx="0">
                  <c:v>0</c:v>
                </c:pt>
                <c:pt idx="1">
                  <c:v>0.78614899999999999</c:v>
                </c:pt>
                <c:pt idx="2">
                  <c:v>0.79918500000000003</c:v>
                </c:pt>
                <c:pt idx="3">
                  <c:v>1.398075</c:v>
                </c:pt>
                <c:pt idx="4">
                  <c:v>1.4150149999999999</c:v>
                </c:pt>
                <c:pt idx="5">
                  <c:v>1.410949</c:v>
                </c:pt>
                <c:pt idx="6">
                  <c:v>5.6483650000000001</c:v>
                </c:pt>
                <c:pt idx="7">
                  <c:v>5.693244</c:v>
                </c:pt>
                <c:pt idx="8">
                  <c:v>15.0291</c:v>
                </c:pt>
                <c:pt idx="9">
                  <c:v>60.442888000000004</c:v>
                </c:pt>
                <c:pt idx="10">
                  <c:v>67.607781000000003</c:v>
                </c:pt>
                <c:pt idx="11">
                  <c:v>90.994789266666672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A0D-4C89-AB22-BC88FDC530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0"/>
        <c:overlap val="-27"/>
        <c:axId val="448973384"/>
        <c:axId val="448977696"/>
      </c:barChart>
      <c:catAx>
        <c:axId val="4489733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8977696"/>
        <c:crosses val="autoZero"/>
        <c:auto val="1"/>
        <c:lblAlgn val="ctr"/>
        <c:lblOffset val="100"/>
        <c:noMultiLvlLbl val="0"/>
      </c:catAx>
      <c:valAx>
        <c:axId val="448977696"/>
        <c:scaling>
          <c:orientation val="minMax"/>
        </c:scaling>
        <c:delete val="1"/>
        <c:axPos val="l"/>
        <c:numFmt formatCode="0.0" sourceLinked="1"/>
        <c:majorTickMark val="none"/>
        <c:minorTickMark val="none"/>
        <c:tickLblPos val="nextTo"/>
        <c:crossAx val="448973384"/>
        <c:crosses val="autoZero"/>
        <c:crossBetween val="between"/>
        <c:majorUnit val="20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0.00608</cdr:x>
      <cdr:y>0</cdr:y>
    </cdr:from>
    <cdr:to>
      <cdr:x>0.96818</cdr:x>
      <cdr:y>0.2508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F52C64B0-091F-4165-8E59-597715CAB435}"/>
            </a:ext>
          </a:extLst>
        </cdr:cNvPr>
        <cdr:cNvSpPr txBox="1"/>
      </cdr:nvSpPr>
      <cdr:spPr>
        <a:xfrm xmlns:a="http://schemas.openxmlformats.org/drawingml/2006/main">
          <a:off x="24765" y="0"/>
          <a:ext cx="3916680" cy="59436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pPr marL="0" marR="0" lvl="0" indent="0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/>
          </a:pPr>
          <a:r>
            <a:rPr lang="en-US" sz="1400" b="1" i="0" baseline="0">
              <a:effectLst/>
              <a:latin typeface="Arial" panose="020B0604020202020204" pitchFamily="34" charset="0"/>
              <a:ea typeface="+mn-ea"/>
              <a:cs typeface="Arial" panose="020B0604020202020204" pitchFamily="34" charset="0"/>
            </a:rPr>
            <a:t>More than 90 million people now live in jurisdictions </a:t>
          </a:r>
        </a:p>
        <a:p xmlns:a="http://schemas.openxmlformats.org/drawingml/2006/main">
          <a:pPr marL="0" marR="0" lvl="0" indent="0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/>
          </a:pPr>
          <a:r>
            <a:rPr lang="en-US" sz="1400" b="1" i="0" baseline="0">
              <a:effectLst/>
              <a:latin typeface="Arial" panose="020B0604020202020204" pitchFamily="34" charset="0"/>
              <a:ea typeface="+mn-ea"/>
              <a:cs typeface="Arial" panose="020B0604020202020204" pitchFamily="34" charset="0"/>
            </a:rPr>
            <a:t>with paid sick leave laws</a:t>
          </a:r>
        </a:p>
        <a:p xmlns:a="http://schemas.openxmlformats.org/drawingml/2006/main">
          <a:pPr marL="0" marR="0" lvl="0" indent="0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/>
          </a:pPr>
          <a:r>
            <a:rPr lang="en-US" sz="1000" i="1">
              <a:effectLst/>
              <a:latin typeface="Arial" panose="020B0604020202020204" pitchFamily="34" charset="0"/>
              <a:cs typeface="Arial" panose="020B0604020202020204" pitchFamily="34" charset="0"/>
            </a:rPr>
            <a:t>   Population</a:t>
          </a:r>
          <a:r>
            <a:rPr lang="en-US" sz="1000" i="1" baseline="0">
              <a:effectLst/>
              <a:latin typeface="Arial" panose="020B0604020202020204" pitchFamily="34" charset="0"/>
              <a:cs typeface="Arial" panose="020B0604020202020204" pitchFamily="34" charset="0"/>
            </a:rPr>
            <a:t> of jurisdictions with paid sick leave laws, in millions of people</a:t>
          </a:r>
          <a:endParaRPr lang="en-US" sz="1000" i="1">
            <a:effectLst/>
            <a:latin typeface="Arial" panose="020B0604020202020204" pitchFamily="34" charset="0"/>
            <a:cs typeface="Arial" panose="020B0604020202020204" pitchFamily="34" charset="0"/>
          </a:endParaRPr>
        </a:p>
        <a:p xmlns:a="http://schemas.openxmlformats.org/drawingml/2006/main">
          <a:endParaRPr lang="en-US" sz="1100"/>
        </a:p>
      </cdr:txBody>
    </cdr:sp>
  </cdr:relSizeAnchor>
  <cdr:relSizeAnchor xmlns:cdr="http://schemas.openxmlformats.org/drawingml/2006/chartDrawing">
    <cdr:from>
      <cdr:x>0.01685</cdr:x>
      <cdr:y>0.82366</cdr:y>
    </cdr:from>
    <cdr:to>
      <cdr:x>0.96712</cdr:x>
      <cdr:y>1</cdr:y>
    </cdr:to>
    <cdr:sp macro="" textlink="">
      <cdr:nvSpPr>
        <cdr:cNvPr id="3" name="TextBox 2">
          <a:extLst xmlns:a="http://schemas.openxmlformats.org/drawingml/2006/main">
            <a:ext uri="{FF2B5EF4-FFF2-40B4-BE49-F238E27FC236}">
              <a16:creationId xmlns:a16="http://schemas.microsoft.com/office/drawing/2014/main" id="{58F6428F-A7B1-45FE-9575-058623A15E96}"/>
            </a:ext>
          </a:extLst>
        </cdr:cNvPr>
        <cdr:cNvSpPr txBox="1"/>
      </cdr:nvSpPr>
      <cdr:spPr>
        <a:xfrm xmlns:a="http://schemas.openxmlformats.org/drawingml/2006/main">
          <a:off x="78105" y="2918460"/>
          <a:ext cx="4404360" cy="62484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100"/>
            <a:t>cepr.net</a:t>
          </a:r>
        </a:p>
        <a:p xmlns:a="http://schemas.openxmlformats.org/drawingml/2006/main">
          <a:r>
            <a:rPr lang="en-US" sz="1100"/>
            <a:t>Source:</a:t>
          </a:r>
          <a:r>
            <a:rPr lang="en-US" sz="1100" baseline="0"/>
            <a:t> Population data from U.S. Census Bureau; Jurisdictions data from </a:t>
          </a:r>
        </a:p>
        <a:p xmlns:a="http://schemas.openxmlformats.org/drawingml/2006/main">
          <a:r>
            <a:rPr lang="en-US" sz="1100" baseline="0"/>
            <a:t>  Family Values @ Work</a:t>
          </a:r>
          <a:endParaRPr lang="en-US" sz="1100"/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Dew</dc:creator>
  <cp:keywords/>
  <dc:description/>
  <cp:lastModifiedBy>Brian Dew</cp:lastModifiedBy>
  <cp:revision>1</cp:revision>
  <dcterms:created xsi:type="dcterms:W3CDTF">2017-07-31T21:24:00Z</dcterms:created>
  <dcterms:modified xsi:type="dcterms:W3CDTF">2017-07-31T22:06:00Z</dcterms:modified>
</cp:coreProperties>
</file>