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45FC" w14:textId="77777777" w:rsidR="008D0816" w:rsidRDefault="00000000" w:rsidP="00155BEF">
      <w:pPr>
        <w:pStyle w:val="NoSpacing"/>
      </w:pPr>
      <w:r>
        <w:t>PRD: Role-Based Attendance &amp; Engagement Platform for SMKS Rajasa Surabaya</w:t>
      </w:r>
    </w:p>
    <w:p w14:paraId="7216C777" w14:textId="77777777" w:rsidR="00155BEF" w:rsidRDefault="00155BEF">
      <w:pPr>
        <w:spacing w:line="240" w:lineRule="auto"/>
      </w:pPr>
    </w:p>
    <w:p w14:paraId="153DCE1F" w14:textId="65470EFC" w:rsidR="008D0816" w:rsidRDefault="00000000">
      <w:pPr>
        <w:spacing w:line="240" w:lineRule="auto"/>
      </w:pPr>
      <w:r>
        <w:t>This document provides a Product Requirements Document (PRD) for the integrated role-based attendance management and engagement platform developed for SMKS Rajasa Surabaya, in collaboration with UNESA. The primary focus is to address current deficiencies in manual and fragmented attendance processes, streamline stakeholder experiences (students, teachers, parents, and admins), ensure compliance, and cultivate a culture of engagement and accountability through configurable, analytics-driven, and adaptive features.</w:t>
      </w:r>
    </w:p>
    <w:p w14:paraId="7F19327B" w14:textId="77777777" w:rsidR="008D0816" w:rsidRDefault="00000000">
      <w:r>
        <w:pict w14:anchorId="6A4E1B84">
          <v:rect id="_x0000_i1025" style="width:0;height:.05pt;mso-width-percent:0;mso-height-percent:0;mso-width-percent:0;mso-height-percent:0" o:hralign="center" o:hrstd="t" o:hr="t" fillcolor="#a0a0a0" stroked="f"/>
        </w:pict>
      </w:r>
    </w:p>
    <w:p w14:paraId="04B293DF" w14:textId="77777777" w:rsidR="008D0816" w:rsidRDefault="00000000">
      <w:pPr>
        <w:pStyle w:val="Heading2"/>
        <w:spacing w:line="240" w:lineRule="auto"/>
      </w:pPr>
      <w:r>
        <w:t>Goals</w:t>
      </w:r>
    </w:p>
    <w:p w14:paraId="51DF76CD" w14:textId="77777777" w:rsidR="008D0816" w:rsidRDefault="00000000">
      <w:pPr>
        <w:spacing w:line="240" w:lineRule="auto"/>
      </w:pPr>
      <w:r>
        <w:t>The platform is designed to align closely with SMKS Rajasa Surabaya's mission to modernize school operations and UNESA’s academic research and innovation objectives. The overarching business goal is to replace legacy and paper-based systems with a scalable digital solution. This will measurably reduce administrative overhead, minimize absenteeism, and enable evidence-based interventions by centralizing attendance, logbook practices, approvals, and stakeholder communication. Furthermore, the platform is meant to be a research-ready testbed for UNESA, supporting academic theses, research projects, and case study publications involving information systems, behavioral analytics, and workflow automation in the education sector. From a user perspective, the goal is to create an intuitive, minimally disruptive experience that adapts to user roles: teachers and admins gain oversight and intervention tools, parents receive timely alerts and actionable insights, and students interact with motivational mechanisms designed to foster engagement, discipline, and achievement. Excluded from the initial scope are real-time chat features, multi-language support, advanced AI/ML analytics, and third-party LMS integrations, as these can lead to scope bloat and implementation complexity during the foundational phase.</w:t>
      </w:r>
    </w:p>
    <w:p w14:paraId="04DD776F" w14:textId="77777777" w:rsidR="008D0816" w:rsidRDefault="00000000">
      <w:r>
        <w:pict w14:anchorId="518273DD">
          <v:rect id="_x0000_i1026" style="width:0;height:.05pt;mso-width-percent:0;mso-height-percent:0;mso-width-percent:0;mso-height-percent:0" o:hralign="center" o:hrstd="t" o:hr="t" fillcolor="#a0a0a0" stroked="f"/>
        </w:pict>
      </w:r>
    </w:p>
    <w:p w14:paraId="3F3B9273" w14:textId="77777777" w:rsidR="008D0816" w:rsidRDefault="00000000">
      <w:pPr>
        <w:pStyle w:val="Heading2"/>
        <w:spacing w:line="240" w:lineRule="auto"/>
      </w:pPr>
      <w:r>
        <w:t>User Stories</w:t>
      </w:r>
    </w:p>
    <w:p w14:paraId="6B6E174C" w14:textId="77777777" w:rsidR="008D0816" w:rsidRDefault="00000000">
      <w:pPr>
        <w:spacing w:line="240" w:lineRule="auto"/>
      </w:pPr>
      <w:r>
        <w:t>The platform serves multiple key personas: teachers (as attendance managers and mentors), students (as attendance participants and logbook reporters), parents (as monitors and authorizers), admins (as compliance officers and system maintainers), and support staff (handling logistics and reporting). Teachers require a frictionless way to record attendance, identify patterns of risk (such as frequent truancy), and generate actionable reports for classroom and school-wide interventions. Students expect reliable mechanisms for marking attendance (QR/NFC), monitoring progress, submitting permission requests, and interacting with gamified rewards to motivate disciplined behavior. Parents want real-time transparency through dashboards, alerts, and direct channels to escalate issues or request approvals. Admins and staff demand deep analytics, automated audit trails, robust data compliance, and labor-saving workflows from reporting to permissions. Across personas, audit logs ensure accountability, while role-adaptive access and notification ensure data security and role-appropriate transparency. These stories are supported by layered workflows where, for example, a student’s attendance or permission request dynamically traverses multi-stage approval—automated and visible within a digital trail—ensuring both efficiency and oversight.</w:t>
      </w:r>
    </w:p>
    <w:p w14:paraId="7980B06C" w14:textId="77777777" w:rsidR="008D0816" w:rsidRDefault="00000000">
      <w:r>
        <w:lastRenderedPageBreak/>
        <w:pict w14:anchorId="14A3C81E">
          <v:rect id="_x0000_i1027" style="width:0;height:.05pt;mso-width-percent:0;mso-height-percent:0;mso-width-percent:0;mso-height-percent:0" o:hralign="center" o:hrstd="t" o:hr="t" fillcolor="#a0a0a0" stroked="f"/>
        </w:pict>
      </w:r>
    </w:p>
    <w:p w14:paraId="58FD1C23" w14:textId="77777777" w:rsidR="008D0816" w:rsidRDefault="00000000">
      <w:pPr>
        <w:pStyle w:val="Heading2"/>
        <w:spacing w:line="240" w:lineRule="auto"/>
      </w:pPr>
      <w:r>
        <w:t>Functional Requirements</w:t>
      </w:r>
    </w:p>
    <w:p w14:paraId="012D6321" w14:textId="77777777" w:rsidR="008D0816" w:rsidRDefault="00000000">
      <w:pPr>
        <w:spacing w:line="240" w:lineRule="auto"/>
      </w:pPr>
      <w:r>
        <w:t>The backbone of the solution is a tightly integrated, modular system. The dashboard provides data visualization tailored to each stakeholder’s needs: teachers see class and student trends; parents access individualized children’s attendance and performance data; admins see global metrics and compliance status; and staff can monitor critical operational status. A scheduled backend process runs daily attendance pattern detection, triggering alerts to parents and BK staff when thresholds are breached—using a rules-based engine rather than ML for simplicity and reliability in early deployment. Logbook integration maps vocational attendance directly to workshop and practice reports, validated by supporting photo evidence and teacher verification, especially for SMK lab and workshop requirements. The e-permission flow applies a state machine for multistage (parent, homeroom teacher, BK) approval, reflecting real-world authorization hierarchies. Gamification modules allow students to earn points and digital badges for punctuality, which can be exchanged for non-material privileges, using transparent and fair logic, with all status visible in their dashboard and parent view. Automated reporting leverages pre-built templates to export attendance metrics per period, class, or department—formulated to meet both internal and external (Kemdikbud, SNQA/BKD) quality standards. An advanced QR/NFC attendance mechanism uses PWA and offline storage to ensure reliability in low-connectivity environments, syncing once connections are restored. All system activities are logged in encrypted audit trails, accessible only by admin with role-based filtering for compliance and transparency. Lastly, communication is routed through an internal ticketing workflow, ensuring urgent matters reach the right roles without cross-channel confusion.</w:t>
      </w:r>
    </w:p>
    <w:p w14:paraId="4540987E" w14:textId="77777777" w:rsidR="008D0816" w:rsidRDefault="00000000">
      <w:r>
        <w:pict w14:anchorId="6A40F0C7">
          <v:rect id="_x0000_i1028" style="width:0;height:.05pt;mso-width-percent:0;mso-height-percent:0;mso-width-percent:0;mso-height-percent:0" o:hralign="center" o:hrstd="t" o:hr="t" fillcolor="#a0a0a0" stroked="f"/>
        </w:pict>
      </w:r>
    </w:p>
    <w:p w14:paraId="5A26F9C2" w14:textId="77777777" w:rsidR="008D0816" w:rsidRDefault="00000000">
      <w:pPr>
        <w:pStyle w:val="Heading2"/>
        <w:spacing w:line="240" w:lineRule="auto"/>
      </w:pPr>
      <w:r>
        <w:t>User Experience</w:t>
      </w:r>
    </w:p>
    <w:p w14:paraId="24486091" w14:textId="77777777" w:rsidR="008D0816" w:rsidRDefault="00000000">
      <w:pPr>
        <w:spacing w:line="240" w:lineRule="auto"/>
      </w:pPr>
      <w:r>
        <w:t xml:space="preserve">The journey begins as users arrive at a role-aware login page, with onboarding overlays introducing their personalized dashboard experience. Teachers, upon logging in, are presented with an analytic summary of attendance in their classes, color-coded risk indicators, and quick-action buttons for interventions (e.g., alerting parents or generating class reports). Students, entering via QR or NFC check-in, see their attendance history and gamified progress indicators, with clear calls to action for submitting digital permission requests in case of absence. Parents receive notifications of attendance issues and can review their children's records, issue permission requests, or escalate concerns with audited approval trails directly from their portal. Admins and staff, after navigating through two-factor authentication, access comprehensive dashboards that surface compliance, exportable reports, and detailed audit trails that track every key system activity. The platform relies on clear color schematics, role-based content hiding, progressive form validation, and consistent user feedback for all CRUD actions (such as real-time success/failure notifications). The app uses a PWA framework to deliver seamless offline capabilities crucial for attendance in labs/workshop environments where connectivity is unreliable; captured offline events are clearly marked and easily synced when network is restored. Each workflow—attendance entry, permission request, notification, reporting—adheres to a simple, guided sequence, with user errors caught early and intervention options (such as re-submission) prominent. Power users (admins, homeroom teachers) can access </w:t>
      </w:r>
      <w:r>
        <w:lastRenderedPageBreak/>
        <w:t>advanced filters and audit viewers, while edge cases such as role misassignment, failed syncs, or data merge conflicts are surfaced via alert banners and actionable logs. UI design strongly considers mobile-first, accessibility, and responsive layout needs, with WCAG-compliant color contrast and readable defaults, ensuring inclusivity for all stakeholders.</w:t>
      </w:r>
    </w:p>
    <w:p w14:paraId="07AD7365" w14:textId="77777777" w:rsidR="008D0816" w:rsidRDefault="00000000">
      <w:r>
        <w:pict w14:anchorId="5861DFE1">
          <v:rect id="_x0000_i1029" style="width:0;height:.05pt;mso-width-percent:0;mso-height-percent:0;mso-width-percent:0;mso-height-percent:0" o:hralign="center" o:hrstd="t" o:hr="t" fillcolor="#a0a0a0" stroked="f"/>
        </w:pict>
      </w:r>
    </w:p>
    <w:p w14:paraId="24309F91" w14:textId="77777777" w:rsidR="008D0816" w:rsidRDefault="00000000">
      <w:pPr>
        <w:pStyle w:val="Heading2"/>
        <w:spacing w:line="240" w:lineRule="auto"/>
      </w:pPr>
      <w:r>
        <w:t>Narrative</w:t>
      </w:r>
    </w:p>
    <w:p w14:paraId="78664827" w14:textId="77777777" w:rsidR="008D0816" w:rsidRDefault="00000000">
      <w:pPr>
        <w:spacing w:line="240" w:lineRule="auto"/>
      </w:pPr>
      <w:r>
        <w:t>The digital transformation journey at SMKS Rajasa Surabaya began with the realization that traditional attendance systems—paper logs, manual approvals, ad-hoc reports—were inefficient, error-prone, and insufficiently adaptive for a modern, vocational school environment. In partnership with UNESA, a team of innovative interns recognized the dual opportunity: to relieve immediate administrative burdens for school staff while simultaneously establishing a platform that could fuel academic research, drive stakeholder engagement, and support best-in-class compliance for Indonesian education standards. Through the development of a holistic, role-based attendance and engagement system, Rizky and Ahmad built a solution that does not merely digitize attendance—it reimagines the stakeholder experience from end to end. Teachers gain the power to intervene early, parents become allies in student discipline, and students themselves are engaged through transparent, incentivized progress. The platform goes beyond the basics, integrating lab/workshop logbooks, enabling early warning and intervention workflows, and generating accreditation-ready documentation at a click. The result is not just a more efficient school, but a more responsive, data-driven, and connected community—one that elevates the experience of education for students today and lays the groundwork for continuous improvement, research, and institutional excellence tomorrow.</w:t>
      </w:r>
    </w:p>
    <w:p w14:paraId="06EAEF24" w14:textId="77777777" w:rsidR="008D0816" w:rsidRDefault="00000000">
      <w:r>
        <w:pict w14:anchorId="3DD68F8F">
          <v:rect id="_x0000_i1030" style="width:0;height:.05pt;mso-width-percent:0;mso-height-percent:0;mso-width-percent:0;mso-height-percent:0" o:hralign="center" o:hrstd="t" o:hr="t" fillcolor="#a0a0a0" stroked="f"/>
        </w:pict>
      </w:r>
    </w:p>
    <w:p w14:paraId="7DE4EC00" w14:textId="77777777" w:rsidR="008D0816" w:rsidRDefault="00000000">
      <w:pPr>
        <w:pStyle w:val="Heading2"/>
        <w:spacing w:line="240" w:lineRule="auto"/>
      </w:pPr>
      <w:r>
        <w:t>Success Metrics</w:t>
      </w:r>
    </w:p>
    <w:p w14:paraId="523EB77B" w14:textId="77777777" w:rsidR="008D0816" w:rsidRDefault="00000000">
      <w:pPr>
        <w:spacing w:line="240" w:lineRule="auto"/>
      </w:pPr>
      <w:r>
        <w:t>Success for this platform is measured through a triangulation of user adoption, business impact, and technical robustness. From a user-centric perspective, high levels of active use among teachers, students, and parents (measured by login and interaction rates), decreased average absenteeism per class/semester, and improved parent-teacher engagement numbers will signal strong adoption. User satisfaction will be tracked through direct feedback points in the dashboard and periodic surveys. The business success of the platform is determined by quantifiable reductions in administrative time spent on attendance reconciliation (&gt;50% reduction), an increase in timely interventions by BK staff, and the successful submission of accreditation reports with minimal manual adjustment. Technical success is measured by system uptime (&gt;99%), low error rates in attendance sync (&lt;2% sync failures across devices), successful audit logging penetration (100% of critical user actions captured), and sustained performance under simultaneous multi-role access. The tracking plan will cover clickstreams for core workflows (attendance check-in, permission requests, report downloads), notification receipt rates, sync event logs, and approval process completion.</w:t>
      </w:r>
    </w:p>
    <w:p w14:paraId="4B11D0B6" w14:textId="77777777" w:rsidR="008D0816" w:rsidRDefault="00000000">
      <w:r>
        <w:pict w14:anchorId="6B4E2C1A">
          <v:rect id="_x0000_i1031" style="width:0;height:.05pt;mso-width-percent:0;mso-height-percent:0;mso-width-percent:0;mso-height-percent:0" o:hralign="center" o:hrstd="t" o:hr="t" fillcolor="#a0a0a0" stroked="f"/>
        </w:pict>
      </w:r>
    </w:p>
    <w:p w14:paraId="0580A698" w14:textId="77777777" w:rsidR="008D0816" w:rsidRDefault="00000000">
      <w:pPr>
        <w:pStyle w:val="Heading2"/>
        <w:spacing w:line="240" w:lineRule="auto"/>
      </w:pPr>
      <w:r>
        <w:lastRenderedPageBreak/>
        <w:t>Technical Considerations</w:t>
      </w:r>
    </w:p>
    <w:p w14:paraId="3383CBD8" w14:textId="77777777" w:rsidR="008D0816" w:rsidRDefault="00000000">
      <w:pPr>
        <w:spacing w:line="240" w:lineRule="auto"/>
      </w:pPr>
      <w:r>
        <w:t>The architecture integrates a modular backend (accommodating cron/scheduled jobs, role-based APIs, audit logging, and notification systems) with a responsive, mobile-first frontend—delivered as a PWA for offline capability and installability on a diverse range of devices. Integration points include WhatsApp/email APIs for notifications, potential future LMS/data exchange bridges, and seamless export to PDF/Excel using well-supported libraries. All data is stored securely, with user role-enforced access, hashed credentials, and compliant with Indonesian data protection law (UU PDP), ensuring student and parent privacy. Attendance and logbook data are stored in a relational schema, supporting efficient filtering, relational queries, and comprehensive audit trails. The PWA framework, supplemented by IndexedDB/localStorage, enables robust edge operation and eventual consistency synchronization. Scalability is achieved through stateless backend functions and batch processing, estimated initially to support up to 2,000 concurrent users with safe growth potential. Technical challenges may arise from inconsistent internet at school premises, integration idiosyncrasies with external notification providers, or requirement drift as school policy and educational regulation evolve; all are mitigated through modular code, robust fallback logic, and continuous user feedback loops.</w:t>
      </w:r>
    </w:p>
    <w:p w14:paraId="622FE0E7" w14:textId="77777777" w:rsidR="008D0816" w:rsidRDefault="00000000">
      <w:r>
        <w:pict w14:anchorId="30FEC267">
          <v:rect id="_x0000_i1032" style="width:0;height:.05pt;mso-width-percent:0;mso-height-percent:0;mso-width-percent:0;mso-height-percent:0" o:hralign="center" o:hrstd="t" o:hr="t" fillcolor="#a0a0a0" stroked="f"/>
        </w:pict>
      </w:r>
    </w:p>
    <w:p w14:paraId="61D3EA0A" w14:textId="77777777" w:rsidR="008D0816" w:rsidRDefault="00000000">
      <w:pPr>
        <w:pStyle w:val="Heading2"/>
        <w:spacing w:line="240" w:lineRule="auto"/>
      </w:pPr>
      <w:r>
        <w:t>Milestones &amp; Sequencing</w:t>
      </w:r>
    </w:p>
    <w:p w14:paraId="19C65F98" w14:textId="77777777" w:rsidR="008D0816" w:rsidRDefault="00000000">
      <w:pPr>
        <w:spacing w:line="240" w:lineRule="auto"/>
      </w:pPr>
      <w:r>
        <w:t>The project is estimated as a medium-scale deployment, with an initial timeline of approximately 4 weeks for MVP (minimum viable product) delivery followed by targeted enhancement and research integration phases. Core team size should not exceed two developers/designers supported by a project advisor or mentor from UNESA for validation and feedback. In phase one (2 weeks), the focus is on implementing the foundational dashboard, attendance, and permission workflow modules using dummy data to facilitate early user testing and validation. In phase two (1.5 weeks), integration of offline attendance, logbook correlation, export/reporting, and notification systems is completed, with a parallel run using real school data in select classes and labs. Phase three (0.5 week) is dedicated to refinement, user onboarding, training, and preparation of documentation for research and accreditation reporting. Each phase allows for overlapping feedback, ensuring priorities remain user- and impact-driven rather than feature-driven. Dependencies include school data availability, selection of notification API providers, and timely feedback from stakeholders involved in daily school operations.</w:t>
      </w:r>
    </w:p>
    <w:sectPr w:rsidR="008D0816">
      <w:pgSz w:w="11907" w:h="16839"/>
      <w:pgMar w:top="1440" w:right="1797" w:bottom="1440" w:left="179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297F"/>
    <w:multiLevelType w:val="hybridMultilevel"/>
    <w:tmpl w:val="3C6A04CE"/>
    <w:lvl w:ilvl="0" w:tplc="A8E03490">
      <w:start w:val="1"/>
      <w:numFmt w:val="bullet"/>
      <w:lvlText w:val="●"/>
      <w:lvlJc w:val="left"/>
      <w:pPr>
        <w:ind w:left="720" w:hanging="360"/>
      </w:pPr>
    </w:lvl>
    <w:lvl w:ilvl="1" w:tplc="C8E0DF04">
      <w:start w:val="1"/>
      <w:numFmt w:val="bullet"/>
      <w:lvlText w:val="○"/>
      <w:lvlJc w:val="left"/>
      <w:pPr>
        <w:ind w:left="1440" w:hanging="360"/>
      </w:pPr>
    </w:lvl>
    <w:lvl w:ilvl="2" w:tplc="3E886C0A">
      <w:start w:val="1"/>
      <w:numFmt w:val="bullet"/>
      <w:lvlText w:val="■"/>
      <w:lvlJc w:val="left"/>
      <w:pPr>
        <w:ind w:left="2160" w:hanging="360"/>
      </w:pPr>
    </w:lvl>
    <w:lvl w:ilvl="3" w:tplc="341C9272">
      <w:start w:val="1"/>
      <w:numFmt w:val="bullet"/>
      <w:lvlText w:val="●"/>
      <w:lvlJc w:val="left"/>
      <w:pPr>
        <w:ind w:left="2880" w:hanging="360"/>
      </w:pPr>
    </w:lvl>
    <w:lvl w:ilvl="4" w:tplc="AA22627E">
      <w:start w:val="1"/>
      <w:numFmt w:val="bullet"/>
      <w:lvlText w:val="○"/>
      <w:lvlJc w:val="left"/>
      <w:pPr>
        <w:ind w:left="3600" w:hanging="360"/>
      </w:pPr>
    </w:lvl>
    <w:lvl w:ilvl="5" w:tplc="CF905EB2">
      <w:start w:val="1"/>
      <w:numFmt w:val="bullet"/>
      <w:lvlText w:val="■"/>
      <w:lvlJc w:val="left"/>
      <w:pPr>
        <w:ind w:left="4320" w:hanging="360"/>
      </w:pPr>
    </w:lvl>
    <w:lvl w:ilvl="6" w:tplc="69FA24F4">
      <w:start w:val="1"/>
      <w:numFmt w:val="bullet"/>
      <w:lvlText w:val="●"/>
      <w:lvlJc w:val="left"/>
      <w:pPr>
        <w:ind w:left="5040" w:hanging="360"/>
      </w:pPr>
    </w:lvl>
    <w:lvl w:ilvl="7" w:tplc="05BAFB32">
      <w:start w:val="1"/>
      <w:numFmt w:val="bullet"/>
      <w:lvlText w:val="●"/>
      <w:lvlJc w:val="left"/>
      <w:pPr>
        <w:ind w:left="5760" w:hanging="360"/>
      </w:pPr>
    </w:lvl>
    <w:lvl w:ilvl="8" w:tplc="712E4CB0">
      <w:start w:val="1"/>
      <w:numFmt w:val="bullet"/>
      <w:lvlText w:val="●"/>
      <w:lvlJc w:val="left"/>
      <w:pPr>
        <w:ind w:left="6480" w:hanging="360"/>
      </w:pPr>
    </w:lvl>
  </w:abstractNum>
  <w:abstractNum w:abstractNumId="1" w15:restartNumberingAfterBreak="0">
    <w:nsid w:val="7D475E13"/>
    <w:multiLevelType w:val="hybridMultilevel"/>
    <w:tmpl w:val="8280DFF8"/>
    <w:lvl w:ilvl="0" w:tplc="B9D6E72A">
      <w:start w:val="1"/>
      <w:numFmt w:val="decimal"/>
      <w:lvlText w:val="%1."/>
      <w:lvlJc w:val="left"/>
      <w:pPr>
        <w:ind w:left="720" w:hanging="360"/>
      </w:pPr>
    </w:lvl>
    <w:lvl w:ilvl="1" w:tplc="C722F962">
      <w:start w:val="1"/>
      <w:numFmt w:val="decimal"/>
      <w:lvlText w:val="%2."/>
      <w:lvlJc w:val="left"/>
      <w:pPr>
        <w:ind w:left="1140" w:hanging="360"/>
      </w:pPr>
    </w:lvl>
    <w:lvl w:ilvl="2" w:tplc="CD06E56A">
      <w:start w:val="1"/>
      <w:numFmt w:val="decimal"/>
      <w:lvlText w:val="%3."/>
      <w:lvlJc w:val="left"/>
      <w:pPr>
        <w:ind w:left="1440" w:hanging="360"/>
      </w:pPr>
    </w:lvl>
    <w:lvl w:ilvl="3" w:tplc="B88ECF20">
      <w:start w:val="1"/>
      <w:numFmt w:val="decimal"/>
      <w:lvlText w:val="%4."/>
      <w:lvlJc w:val="left"/>
      <w:pPr>
        <w:ind w:left="1740" w:hanging="360"/>
      </w:pPr>
    </w:lvl>
    <w:lvl w:ilvl="4" w:tplc="B314A7B6">
      <w:start w:val="1"/>
      <w:numFmt w:val="decimal"/>
      <w:lvlText w:val="%5."/>
      <w:lvlJc w:val="left"/>
      <w:pPr>
        <w:ind w:left="2040" w:hanging="360"/>
      </w:pPr>
    </w:lvl>
    <w:lvl w:ilvl="5" w:tplc="64A6CE88">
      <w:start w:val="1"/>
      <w:numFmt w:val="decimal"/>
      <w:lvlText w:val="%6."/>
      <w:lvlJc w:val="left"/>
      <w:pPr>
        <w:ind w:left="2340" w:hanging="360"/>
      </w:pPr>
    </w:lvl>
    <w:lvl w:ilvl="6" w:tplc="F28C7BEE">
      <w:start w:val="1"/>
      <w:numFmt w:val="decimal"/>
      <w:lvlText w:val="%7."/>
      <w:lvlJc w:val="left"/>
      <w:pPr>
        <w:ind w:left="2640" w:hanging="360"/>
      </w:pPr>
    </w:lvl>
    <w:lvl w:ilvl="7" w:tplc="E294EC78">
      <w:start w:val="1"/>
      <w:numFmt w:val="decimal"/>
      <w:lvlText w:val="%8."/>
      <w:lvlJc w:val="left"/>
      <w:pPr>
        <w:ind w:left="2940" w:hanging="360"/>
      </w:pPr>
    </w:lvl>
    <w:lvl w:ilvl="8" w:tplc="3676CAB6">
      <w:start w:val="1"/>
      <w:numFmt w:val="decimal"/>
      <w:lvlText w:val="%9."/>
      <w:lvlJc w:val="left"/>
      <w:pPr>
        <w:ind w:left="3240" w:hanging="360"/>
      </w:pPr>
    </w:lvl>
  </w:abstractNum>
  <w:num w:numId="1" w16cid:durableId="1161854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816"/>
    <w:rsid w:val="00151B23"/>
    <w:rsid w:val="00155BEF"/>
    <w:rsid w:val="008D081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E9D58"/>
  <w15:docId w15:val="{729AE1E1-7EA2-4D5E-8893-D8F1257FD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ptos" w:eastAsia="Aptos" w:hAnsi="Aptos" w:cs="Aptos"/>
      <w:sz w:val="22"/>
      <w:szCs w:val="22"/>
    </w:rPr>
  </w:style>
  <w:style w:type="paragraph" w:styleId="Heading1">
    <w:name w:val="heading 1"/>
    <w:basedOn w:val="Normal"/>
    <w:next w:val="Normal"/>
    <w:uiPriority w:val="9"/>
    <w:qFormat/>
    <w:pPr>
      <w:spacing w:before="240" w:after="120"/>
      <w:outlineLvl w:val="0"/>
    </w:pPr>
    <w:rPr>
      <w:rFonts w:ascii="Aptos Light" w:eastAsia="Aptos Light" w:hAnsi="Aptos Light" w:cs="Aptos Light"/>
      <w:b/>
      <w:bCs/>
      <w:color w:val="2E74B5"/>
      <w:sz w:val="32"/>
      <w:szCs w:val="32"/>
    </w:rPr>
  </w:style>
  <w:style w:type="paragraph" w:styleId="Heading2">
    <w:name w:val="heading 2"/>
    <w:basedOn w:val="Normal"/>
    <w:next w:val="Normal"/>
    <w:uiPriority w:val="9"/>
    <w:unhideWhenUsed/>
    <w:qFormat/>
    <w:pPr>
      <w:spacing w:before="240" w:after="120"/>
      <w:outlineLvl w:val="1"/>
    </w:pPr>
    <w:rPr>
      <w:rFonts w:ascii="Aptos Light" w:eastAsia="Aptos Light" w:hAnsi="Aptos Light" w:cs="Aptos Light"/>
      <w:b/>
      <w:bCs/>
      <w:color w:val="2E74B5"/>
      <w:sz w:val="28"/>
      <w:szCs w:val="28"/>
    </w:rPr>
  </w:style>
  <w:style w:type="paragraph" w:styleId="Heading3">
    <w:name w:val="heading 3"/>
    <w:basedOn w:val="Normal"/>
    <w:next w:val="Normal"/>
    <w:uiPriority w:val="9"/>
    <w:unhideWhenUsed/>
    <w:qFormat/>
    <w:pPr>
      <w:spacing w:before="240" w:after="120"/>
      <w:outlineLvl w:val="2"/>
    </w:pPr>
    <w:rPr>
      <w:b/>
      <w:bCs/>
      <w:color w:val="2E74B5"/>
      <w:sz w:val="26"/>
      <w:szCs w:val="26"/>
    </w:rPr>
  </w:style>
  <w:style w:type="paragraph" w:styleId="Heading4">
    <w:name w:val="heading 4"/>
    <w:basedOn w:val="Normal"/>
    <w:next w:val="Normal"/>
    <w:uiPriority w:val="9"/>
    <w:semiHidden/>
    <w:unhideWhenUsed/>
    <w:qFormat/>
    <w:pPr>
      <w:spacing w:before="240" w:after="120"/>
      <w:outlineLvl w:val="3"/>
    </w:pPr>
    <w:rPr>
      <w:b/>
      <w:bCs/>
      <w:color w:val="2E74B5"/>
      <w:sz w:val="24"/>
      <w:szCs w:val="24"/>
    </w:rPr>
  </w:style>
  <w:style w:type="paragraph" w:styleId="Heading5">
    <w:name w:val="heading 5"/>
    <w:basedOn w:val="Normal"/>
    <w:next w:val="Normal"/>
    <w:uiPriority w:val="9"/>
    <w:semiHidden/>
    <w:unhideWhenUsed/>
    <w:qFormat/>
    <w:pPr>
      <w:spacing w:before="240" w:after="120"/>
      <w:outlineLvl w:val="4"/>
    </w:pPr>
    <w:rPr>
      <w:b/>
      <w:bCs/>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jc w:val="center"/>
    </w:pPr>
    <w:rPr>
      <w:rFonts w:ascii="Aptos Light" w:eastAsia="Aptos Light" w:hAnsi="Aptos Light" w:cs="Aptos Light"/>
      <w:b/>
      <w:bCs/>
      <w:color w:val="000000"/>
      <w:sz w:val="44"/>
      <w:szCs w:val="44"/>
    </w:rPr>
  </w:style>
  <w:style w:type="paragraph" w:customStyle="1" w:styleId="Strong1">
    <w:name w:val="Strong1"/>
    <w:basedOn w:val="Normal"/>
    <w:next w:val="Normal"/>
    <w:qFormat/>
    <w:rPr>
      <w:b/>
      <w:bCs/>
    </w:rPr>
  </w:style>
  <w:style w:type="paragraph" w:styleId="ListParagraph">
    <w:name w:val="List Paragraph"/>
    <w:basedOn w:val="Normal"/>
    <w:qFormat/>
    <w:pPr>
      <w:spacing w:after="40" w:line="240"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spacing w:after="0"/>
      <w:jc w:val="center"/>
    </w:pPr>
    <w:rPr>
      <w:rFonts w:ascii="Aptos Light" w:eastAsia="Aptos Light" w:hAnsi="Aptos Light" w:cs="Aptos Light"/>
      <w:i/>
      <w:iCs/>
      <w:color w:val="666666"/>
      <w:sz w:val="32"/>
      <w:szCs w:val="32"/>
    </w:rPr>
  </w:style>
  <w:style w:type="paragraph" w:styleId="Quote">
    <w:name w:val="Quote"/>
    <w:basedOn w:val="Normal"/>
    <w:qFormat/>
    <w:pPr>
      <w:spacing w:before="200"/>
      <w:jc w:val="center"/>
    </w:pPr>
    <w:rPr>
      <w:i/>
      <w:iCs/>
    </w:rPr>
  </w:style>
  <w:style w:type="paragraph" w:styleId="IntenseQuote">
    <w:name w:val="Intense Quote"/>
    <w:basedOn w:val="Normal"/>
    <w:qFormat/>
    <w:pPr>
      <w:spacing w:before="200"/>
      <w:jc w:val="center"/>
    </w:pPr>
    <w:rPr>
      <w:i/>
      <w:iCs/>
      <w:color w:val="444444"/>
    </w:rPr>
  </w:style>
  <w:style w:type="paragraph" w:styleId="NoSpacing">
    <w:name w:val="No Spacing"/>
    <w:basedOn w:val="Normal"/>
    <w:qFormat/>
    <w:pPr>
      <w:spacing w:after="0" w:line="240" w:lineRule="auto"/>
    </w:pPr>
  </w:style>
  <w:style w:type="paragraph" w:customStyle="1" w:styleId="Hyperlink1">
    <w:name w:val="Hyperlink1"/>
    <w:basedOn w:val="Normal"/>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1875</Words>
  <Characters>10689</Characters>
  <Application>Microsoft Office Word</Application>
  <DocSecurity>0</DocSecurity>
  <Lines>89</Lines>
  <Paragraphs>25</Paragraphs>
  <ScaleCrop>false</ScaleCrop>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Fashich</cp:lastModifiedBy>
  <cp:revision>3</cp:revision>
  <dcterms:created xsi:type="dcterms:W3CDTF">2026-06-24T15:55:00Z</dcterms:created>
  <dcterms:modified xsi:type="dcterms:W3CDTF">2026-06-25T17:57:00Z</dcterms:modified>
</cp:coreProperties>
</file>