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B21B6"/>
          <w:sz w:val="56"/>
          <w:szCs w:val="56"/>
        </w:rPr>
        <w:t xml:space="preserve">Jira WorkLog Assistant</w:t>
      </w:r>
    </w:p>
    <w:p>
      <w:pPr>
        <w:spacing w:after="0" w:before="120"/>
        <w:jc w:val="center"/>
      </w:pPr>
      <w:r>
        <w:rPr>
          <w:color w:val="1F2937"/>
          <w:sz w:val="36"/>
          <w:szCs w:val="36"/>
        </w:rPr>
        <w:t xml:space="preserve">User Manual</w:t>
      </w:r>
    </w:p>
    <w:p>
      <w:pPr>
        <w:spacing w:before="200"/>
        <w:jc w:val="center"/>
      </w:pPr>
      <w:r>
        <w:rPr>
          <w:color w:val="6B7280"/>
          <w:sz w:val="24"/>
          <w:szCs w:val="24"/>
        </w:rPr>
        <w:t xml:space="preserve">Version 1.5.0</w:t>
      </w:r>
    </w:p>
    <w:p>
      <w:pPr>
        <w:spacing w:before="1200"/>
        <w:jc w:val="center"/>
      </w:pPr>
      <w:r>
        <w:rPr>
          <w:i/>
          <w:iCs/>
          <w:color w:val="6B7280"/>
          <w:sz w:val="24"/>
          <w:szCs w:val="24"/>
        </w:rPr>
        <w:t xml:space="preserve">Capture work as it happens. Log it effortlessly.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Instead of trying to remember everything at the end of the day, you jot quick notes as you work. When you are ready, the app uses AI to polish those notes into proper Jira work logs and submits them — either to a single task you pick, or automatically distributed across several tasks (“Smart Distribution”). It runs quietly in the Windows system tray.</w:t>
      </w:r>
    </w:p>
    <w:p>
      <w:pPr>
        <w:pStyle w:val="Heading2"/>
      </w:pPr>
      <w:r>
        <w:t xml:space="preserve">Key features</w:t>
      </w:r>
    </w:p>
    <w:p>
      <w:pPr>
        <w:pStyle w:val="ListParagraph"/>
        <w:numPr>
          <w:ilvl w:val="0"/>
          <w:numId w:val="2"/>
        </w:numPr>
        <w:spacing w:after="40"/>
      </w:pPr>
      <w:r>
        <w:t xml:space="preserve">Sticky-note style capture windows (one color per note)</w:t>
      </w:r>
    </w:p>
    <w:p>
      <w:pPr>
        <w:pStyle w:val="ListParagraph"/>
        <w:numPr>
          <w:ilvl w:val="0"/>
          <w:numId w:val="2"/>
        </w:numPr>
        <w:spacing w:after="40"/>
      </w:pPr>
      <w:r>
        <w:t xml:space="preserve">AI-polished work logs (any OpenAI-compatible model)</w:t>
      </w:r>
    </w:p>
    <w:p>
      <w:pPr>
        <w:pStyle w:val="ListParagraph"/>
        <w:numPr>
          <w:ilvl w:val="0"/>
          <w:numId w:val="2"/>
        </w:numPr>
        <w:spacing w:after="40"/>
      </w:pPr>
      <w:r>
        <w:t xml:space="preserve">Manual (one task) or AI Smart Distribution (many tasks) modes</w:t>
      </w:r>
    </w:p>
    <w:p>
      <w:pPr>
        <w:pStyle w:val="ListParagraph"/>
        <w:numPr>
          <w:ilvl w:val="0"/>
          <w:numId w:val="2"/>
        </w:numPr>
        <w:spacing w:after="40"/>
      </w:pPr>
      <w:r>
        <w:t xml:space="preserve">A review screen before anything is submitted</w:t>
      </w:r>
    </w:p>
    <w:p>
      <w:pPr>
        <w:pStyle w:val="ListParagraph"/>
        <w:numPr>
          <w:ilvl w:val="0"/>
          <w:numId w:val="2"/>
        </w:numPr>
        <w:spacing w:after="40"/>
      </w:pPr>
      <w:r>
        <w:t xml:space="preserve">Optional automatic logging at a set time</w:t>
      </w:r>
    </w:p>
    <w:p>
      <w:pPr>
        <w:pStyle w:val="ListParagraph"/>
        <w:numPr>
          <w:ilvl w:val="0"/>
          <w:numId w:val="2"/>
        </w:numPr>
        <w:spacing w:after="40"/>
      </w:pPr>
      <w:r>
        <w:t xml:space="preserve">Dashboard with daily summary and a scrum standup generator</w:t>
      </w:r>
    </w:p>
    <w:p>
      <w:pPr>
        <w:pStyle w:val="ListParagraph"/>
        <w:numPr>
          <w:ilvl w:val="0"/>
          <w:numId w:val="2"/>
        </w:numPr>
        <w:spacing w:after="40"/>
      </w:pPr>
      <w:r>
        <w:t xml:space="preserve">Works with Jira Server / Data Center using username and password</w:t>
      </w:r>
    </w:p>
    <w:p>
      <w:pPr>
        <w:pStyle w:val="Heading1"/>
      </w:pPr>
      <w:r>
        <w:t xml:space="preserve">2. Installation</w:t>
      </w:r>
    </w:p>
    <w:p>
      <w:pPr>
        <w:pStyle w:val="ListParagraph"/>
        <w:numPr>
          <w:ilvl w:val="0"/>
          <w:numId w:val="3"/>
        </w:numPr>
        <w:spacing w:after="40"/>
      </w:pPr>
      <w:r>
        <w:t xml:space="preserve">Double-click </w:t>
      </w:r>
      <w:r>
        <w:rPr>
          <w:b/>
          <w:bCs/>
        </w:rPr>
        <w:t xml:space="preserve">JiraWorkLogAssistant-Setup-x.y.z.exe</w:t>
      </w:r>
      <w:r>
        <w:t xml:space="preserve">.</w:t>
      </w:r>
    </w:p>
    <w:p>
      <w:pPr>
        <w:pStyle w:val="ListParagraph"/>
        <w:numPr>
          <w:ilvl w:val="0"/>
          <w:numId w:val="3"/>
        </w:numPr>
        <w:spacing w:after="40"/>
      </w:pPr>
      <w:r>
        <w:t xml:space="preserve">Follow the wizard (no administrator rights or pre-installed .NET required).</w:t>
      </w:r>
    </w:p>
    <w:p>
      <w:pPr>
        <w:pStyle w:val="ListParagraph"/>
        <w:numPr>
          <w:ilvl w:val="0"/>
          <w:numId w:val="3"/>
        </w:numPr>
        <w:spacing w:after="40"/>
      </w:pPr>
      <w:r>
        <w:t xml:space="preserve">Optionally tick </w:t>
      </w:r>
      <w:r>
        <w:rPr>
          <w:b/>
          <w:bCs/>
        </w:rPr>
        <w:t xml:space="preserve">Create a desktop shortcut</w:t>
      </w:r>
      <w:r>
        <w:t xml:space="preserve"> and </w:t>
      </w:r>
      <w:r>
        <w:rPr>
          <w:b/>
          <w:bCs/>
        </w:rPr>
        <w:t xml:space="preserve">Start automatically when Windows starts</w:t>
      </w:r>
      <w:r>
        <w:t xml:space="preserve">.</w:t>
      </w:r>
    </w:p>
    <w:p>
      <w:pPr>
        <w:pStyle w:val="ListParagraph"/>
        <w:numPr>
          <w:ilvl w:val="0"/>
          <w:numId w:val="3"/>
        </w:numPr>
        <w:spacing w:after="40"/>
      </w:pPr>
      <w:r>
        <w:t xml:space="preserve">Click </w:t>
      </w:r>
      <w:r>
        <w:rPr>
          <w:b/>
          <w:bCs/>
        </w:rPr>
        <w:t xml:space="preserve">Install</w:t>
      </w:r>
      <w:r>
        <w:t xml:space="preserve">, then </w:t>
      </w:r>
      <w:r>
        <w:rPr>
          <w:b/>
          <w:bCs/>
        </w:rPr>
        <w:t xml:space="preserve">Finish</w:t>
      </w:r>
      <w:r>
        <w:t xml:space="preserve"> (the app launches into the system tray).</w:t>
      </w:r>
    </w:p>
    <w:p>
      <w:pPr>
        <w:pBdr>
          <w:left w:val="single" w:color="5B21B6" w:sz="18" w:space="8"/>
        </w:pBdr>
        <w:spacing w:after="120" w:before="60"/>
        <w:ind w:left="240"/>
      </w:pPr>
      <w:r>
        <w:rPr>
          <w:b/>
          <w:bCs/>
          <w:color w:val="5B21B6"/>
        </w:rPr>
        <w:t xml:space="preserve">Note  </w:t>
      </w:r>
      <w:r>
        <w:t xml:space="preserve">Upgrading: run the newer setup — it upgrades in place. Exit the app first (tray icon → Exit). Your settings and data are kept.</w:t>
      </w:r>
    </w:p>
    <w:p>
      <w:pPr>
        <w:pBdr>
          <w:left w:val="single" w:color="5B21B6" w:sz="18" w:space="8"/>
        </w:pBdr>
        <w:spacing w:after="120" w:before="60"/>
        <w:ind w:left="240"/>
      </w:pPr>
      <w:r>
        <w:rPr>
          <w:b/>
          <w:bCs/>
          <w:color w:val="5B21B6"/>
        </w:rPr>
        <w:t xml:space="preserve">Note  </w:t>
      </w:r>
      <w:r>
        <w:t xml:space="preserve">SmartScreen: because the installer is unsigned, Windows may show “Windows protected your PC”. Click More info → Run anyway.</w:t>
      </w:r>
    </w:p>
    <w:p>
      <w:pPr>
        <w:pStyle w:val="Heading1"/>
      </w:pPr>
      <w:r>
        <w:t xml:space="preserve">3. First-Time Setup</w:t>
      </w:r>
    </w:p>
    <w:p>
      <w:pPr>
        <w:spacing w:after="120"/>
      </w:pPr>
      <w:r>
        <w:t xml:space="preserve">Open Settings from the tray icon (right-click the tray icon → Settings).</w:t>
      </w:r>
    </w:p>
    <w:p>
      <w:pPr>
        <w:pStyle w:val="Heading2"/>
      </w:pPr>
      <w:r>
        <w:t xml:space="preserve">3.1 Jira (Server / Data Center)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shd w:fill="5B21B6" w:color="auto" w:val="clear"/>
            <w:tcMar>
              <w:top w:type="dxa" w:w="60"/>
              <w:left w:type="dxa" w:w="120"/>
              <w:bottom w:type="dxa" w:w="60"/>
              <w:right w:type="dxa" w:w="120"/>
            </w:tcMar>
            <w:vAlign w:val="center"/>
          </w:tcPr>
          <w:p>
            <w:pPr>
              <w:spacing w:after="0"/>
            </w:pPr>
            <w:r>
              <w:rPr>
                <w:b/>
                <w:bCs/>
                <w:color w:val="FFFFFF"/>
              </w:rPr>
              <w:t xml:space="preserve"/>
            </w:r>
          </w:p>
        </w:tc>
        <w:tc>
          <w:tcPr>
            <w:tcW w:type="dxa" w:w="6360"/>
            <w:shd w:fill="5B21B6" w:color="auto" w:val="clear"/>
            <w:tcMar>
              <w:top w:type="dxa" w:w="60"/>
              <w:left w:type="dxa" w:w="120"/>
              <w:bottom w:type="dxa" w:w="60"/>
              <w:right w:type="dxa" w:w="120"/>
            </w:tcMar>
            <w:vAlign w:val="center"/>
          </w:tcPr>
          <w:p>
            <w:pPr>
              <w:spacing w:after="0"/>
            </w:pPr>
            <w:r>
              <w:rPr>
                <w:b/>
                <w:bCs/>
                <w:color w:val="FFFFFF"/>
              </w:rPr>
              <w:t xml:space="preserve"/>
            </w:r>
          </w:p>
        </w:tc>
      </w:tr>
      <w:tr>
        <w:tc>
          <w:tcPr>
            <w:tcW w:type="dxa" w:w="3000"/>
            <w:tcMar>
              <w:top w:type="dxa" w:w="60"/>
              <w:left w:type="dxa" w:w="120"/>
              <w:bottom w:type="dxa" w:w="60"/>
              <w:right w:type="dxa" w:w="120"/>
            </w:tcMar>
            <w:vAlign w:val="center"/>
          </w:tcPr>
          <w:p>
            <w:pPr>
              <w:spacing w:after="0"/>
            </w:pPr>
            <w:r>
              <w:t xml:space="preserve">Jira Base URL</w:t>
            </w:r>
          </w:p>
        </w:tc>
        <w:tc>
          <w:tcPr>
            <w:tcW w:type="dxa" w:w="6360"/>
            <w:tcMar>
              <w:top w:type="dxa" w:w="60"/>
              <w:left w:type="dxa" w:w="120"/>
              <w:bottom w:type="dxa" w:w="60"/>
              <w:right w:type="dxa" w:w="120"/>
            </w:tcMar>
            <w:vAlign w:val="center"/>
          </w:tcPr>
          <w:p>
            <w:pPr>
              <w:spacing w:after="0"/>
            </w:pPr>
            <w:r>
              <w:t xml:space="preserve">http://your-jira-server/jira</w:t>
            </w:r>
          </w:p>
        </w:tc>
      </w:tr>
      <w:tr>
        <w:tc>
          <w:tcPr>
            <w:tcW w:type="dxa" w:w="3000"/>
            <w:tcMar>
              <w:top w:type="dxa" w:w="60"/>
              <w:left w:type="dxa" w:w="120"/>
              <w:bottom w:type="dxa" w:w="60"/>
              <w:right w:type="dxa" w:w="120"/>
            </w:tcMar>
            <w:vAlign w:val="center"/>
          </w:tcPr>
          <w:p>
            <w:pPr>
              <w:spacing w:after="0"/>
            </w:pPr>
            <w:r>
              <w:t xml:space="preserve">Username</w:t>
            </w:r>
          </w:p>
        </w:tc>
        <w:tc>
          <w:tcPr>
            <w:tcW w:type="dxa" w:w="6360"/>
            <w:tcMar>
              <w:top w:type="dxa" w:w="60"/>
              <w:left w:type="dxa" w:w="120"/>
              <w:bottom w:type="dxa" w:w="60"/>
              <w:right w:type="dxa" w:w="120"/>
            </w:tcMar>
            <w:vAlign w:val="center"/>
          </w:tcPr>
          <w:p>
            <w:pPr>
              <w:spacing w:after="0"/>
            </w:pPr>
            <w:r>
              <w:t xml:space="preserve">your Jira login</w:t>
            </w:r>
          </w:p>
        </w:tc>
      </w:tr>
      <w:tr>
        <w:tc>
          <w:tcPr>
            <w:tcW w:type="dxa" w:w="3000"/>
            <w:tcMar>
              <w:top w:type="dxa" w:w="60"/>
              <w:left w:type="dxa" w:w="120"/>
              <w:bottom w:type="dxa" w:w="60"/>
              <w:right w:type="dxa" w:w="120"/>
            </w:tcMar>
            <w:vAlign w:val="center"/>
          </w:tcPr>
          <w:p>
            <w:pPr>
              <w:spacing w:after="0"/>
            </w:pPr>
            <w:r>
              <w:t xml:space="preserve">Password</w:t>
            </w:r>
          </w:p>
        </w:tc>
        <w:tc>
          <w:tcPr>
            <w:tcW w:type="dxa" w:w="6360"/>
            <w:tcMar>
              <w:top w:type="dxa" w:w="60"/>
              <w:left w:type="dxa" w:w="120"/>
              <w:bottom w:type="dxa" w:w="60"/>
              <w:right w:type="dxa" w:w="120"/>
            </w:tcMar>
            <w:vAlign w:val="center"/>
          </w:tcPr>
          <w:p>
            <w:pPr>
              <w:spacing w:after="0"/>
            </w:pPr>
            <w:r>
              <w:t xml:space="preserve">your Jira password</w:t>
            </w:r>
          </w:p>
        </w:tc>
      </w:tr>
    </w:tbl>
    <w:p>
      <w:pPr>
        <w:spacing w:after="120"/>
      </w:pPr>
      <w:r>
        <w:t xml:space="preserve">Click Test Connection — you should see “Connected successfully!” Then Save.</w:t>
      </w:r>
    </w:p>
    <w:p>
      <w:pPr>
        <w:pStyle w:val="Heading2"/>
      </w:pPr>
      <w:r>
        <w:t xml:space="preserve">3.2 AI (any OpenAI-compatible endpoint)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shd w:fill="5B21B6" w:color="auto" w:val="clear"/>
            <w:tcMar>
              <w:top w:type="dxa" w:w="60"/>
              <w:left w:type="dxa" w:w="120"/>
              <w:bottom w:type="dxa" w:w="60"/>
              <w:right w:type="dxa" w:w="120"/>
            </w:tcMar>
            <w:vAlign w:val="center"/>
          </w:tcPr>
          <w:p>
            <w:pPr>
              <w:spacing w:after="0"/>
            </w:pPr>
            <w:r>
              <w:rPr>
                <w:b/>
                <w:bCs/>
                <w:color w:val="FFFFFF"/>
              </w:rPr>
              <w:t xml:space="preserve"/>
            </w:r>
          </w:p>
        </w:tc>
        <w:tc>
          <w:tcPr>
            <w:tcW w:type="dxa" w:w="6360"/>
            <w:shd w:fill="5B21B6" w:color="auto" w:val="clear"/>
            <w:tcMar>
              <w:top w:type="dxa" w:w="60"/>
              <w:left w:type="dxa" w:w="120"/>
              <w:bottom w:type="dxa" w:w="60"/>
              <w:right w:type="dxa" w:w="120"/>
            </w:tcMar>
            <w:vAlign w:val="center"/>
          </w:tcPr>
          <w:p>
            <w:pPr>
              <w:spacing w:after="0"/>
            </w:pPr>
            <w:r>
              <w:rPr>
                <w:b/>
                <w:bCs/>
                <w:color w:val="FFFFFF"/>
              </w:rPr>
              <w:t xml:space="preserve"/>
            </w:r>
          </w:p>
        </w:tc>
      </w:tr>
      <w:tr>
        <w:tc>
          <w:tcPr>
            <w:tcW w:type="dxa" w:w="3000"/>
            <w:tcMar>
              <w:top w:type="dxa" w:w="60"/>
              <w:left w:type="dxa" w:w="120"/>
              <w:bottom w:type="dxa" w:w="60"/>
              <w:right w:type="dxa" w:w="120"/>
            </w:tcMar>
            <w:vAlign w:val="center"/>
          </w:tcPr>
          <w:p>
            <w:pPr>
              <w:spacing w:after="0"/>
            </w:pPr>
            <w:r>
              <w:t xml:space="preserve">API Base URL</w:t>
            </w:r>
          </w:p>
        </w:tc>
        <w:tc>
          <w:tcPr>
            <w:tcW w:type="dxa" w:w="6360"/>
            <w:tcMar>
              <w:top w:type="dxa" w:w="60"/>
              <w:left w:type="dxa" w:w="120"/>
              <w:bottom w:type="dxa" w:w="60"/>
              <w:right w:type="dxa" w:w="120"/>
            </w:tcMar>
            <w:vAlign w:val="center"/>
          </w:tcPr>
          <w:p>
            <w:pPr>
              <w:spacing w:after="0"/>
            </w:pPr>
            <w:r>
              <w:t xml:space="preserve">https://api.openai.com/v1  (must end at /v1)</w:t>
            </w:r>
          </w:p>
        </w:tc>
      </w:tr>
      <w:tr>
        <w:tc>
          <w:tcPr>
            <w:tcW w:type="dxa" w:w="3000"/>
            <w:tcMar>
              <w:top w:type="dxa" w:w="60"/>
              <w:left w:type="dxa" w:w="120"/>
              <w:bottom w:type="dxa" w:w="60"/>
              <w:right w:type="dxa" w:w="120"/>
            </w:tcMar>
            <w:vAlign w:val="center"/>
          </w:tcPr>
          <w:p>
            <w:pPr>
              <w:spacing w:after="0"/>
            </w:pPr>
            <w:r>
              <w:t xml:space="preserve">API Key</w:t>
            </w:r>
          </w:p>
        </w:tc>
        <w:tc>
          <w:tcPr>
            <w:tcW w:type="dxa" w:w="6360"/>
            <w:tcMar>
              <w:top w:type="dxa" w:w="60"/>
              <w:left w:type="dxa" w:w="120"/>
              <w:bottom w:type="dxa" w:w="60"/>
              <w:right w:type="dxa" w:w="120"/>
            </w:tcMar>
            <w:vAlign w:val="center"/>
          </w:tcPr>
          <w:p>
            <w:pPr>
              <w:spacing w:after="0"/>
            </w:pPr>
            <w:r>
              <w:t xml:space="preserve">your key (leave blank for an unsecured local model)</w:t>
            </w:r>
          </w:p>
        </w:tc>
      </w:tr>
      <w:tr>
        <w:tc>
          <w:tcPr>
            <w:tcW w:type="dxa" w:w="3000"/>
            <w:tcMar>
              <w:top w:type="dxa" w:w="60"/>
              <w:left w:type="dxa" w:w="120"/>
              <w:bottom w:type="dxa" w:w="60"/>
              <w:right w:type="dxa" w:w="120"/>
            </w:tcMar>
            <w:vAlign w:val="center"/>
          </w:tcPr>
          <w:p>
            <w:pPr>
              <w:spacing w:after="0"/>
            </w:pPr>
            <w:r>
              <w:t xml:space="preserve">Model Name</w:t>
            </w:r>
          </w:p>
        </w:tc>
        <w:tc>
          <w:tcPr>
            <w:tcW w:type="dxa" w:w="6360"/>
            <w:tcMar>
              <w:top w:type="dxa" w:w="60"/>
              <w:left w:type="dxa" w:w="120"/>
              <w:bottom w:type="dxa" w:w="60"/>
              <w:right w:type="dxa" w:w="120"/>
            </w:tcMar>
            <w:vAlign w:val="center"/>
          </w:tcPr>
          <w:p>
            <w:pPr>
              <w:spacing w:after="0"/>
            </w:pPr>
            <w:r>
              <w:t xml:space="preserve">gpt-4o-mini, openai/gpt-oss-120b, etc.</w:t>
            </w:r>
          </w:p>
        </w:tc>
      </w:tr>
    </w:tbl>
    <w:p>
      <w:pPr>
        <w:pStyle w:val="ListParagraph"/>
        <w:numPr>
          <w:ilvl w:val="0"/>
          <w:numId w:val="2"/>
        </w:numPr>
        <w:spacing w:after="40"/>
      </w:pPr>
      <w:r>
        <w:t xml:space="preserve">The app always calls </w:t>
      </w:r>
      <w:r>
        <w:rPr>
          <w:rFonts w:ascii="Consolas" w:cs="Consolas" w:eastAsia="Consolas" w:hAnsi="Consolas"/>
          <w:color w:val="5B21B6"/>
        </w:rPr>
        <w:t xml:space="preserve">&lt;Base URL&gt;/chat/completions</w:t>
      </w:r>
      <w:r>
        <w:t xml:space="preserve"> and sends the model in the request body.</w:t>
      </w:r>
    </w:p>
    <w:p>
      <w:pPr>
        <w:pStyle w:val="ListParagraph"/>
        <w:numPr>
          <w:ilvl w:val="0"/>
          <w:numId w:val="2"/>
        </w:numPr>
        <w:spacing w:after="40"/>
      </w:pPr>
      <w:r>
        <w:t xml:space="preserve">If your endpoint encodes the model in the URL path, paste the full base (e.g. </w:t>
      </w:r>
      <w:r>
        <w:rPr>
          <w:rFonts w:ascii="Consolas" w:cs="Consolas" w:eastAsia="Consolas" w:hAnsi="Consolas"/>
          <w:color w:val="5B21B6"/>
        </w:rPr>
        <w:t xml:space="preserve">http://host:port/v2/gpt-oss-120b/v1</w:t>
      </w:r>
      <w:r>
        <w:t xml:space="preserve">) and leave Model Name blank — the app then omits the model field and lets the URL select it.</w:t>
      </w:r>
    </w:p>
    <w:p>
      <w:pPr>
        <w:spacing w:after="120"/>
      </w:pPr>
      <w:r>
        <w:rPr>
          <w:i w:val="false"/>
          <w:iCs w:val="false"/>
        </w:rPr>
        <w:t xml:space="preserve">Click Test AI Connection, then Save.</w:t>
      </w:r>
    </w:p>
    <w:p>
      <w:pPr>
        <w:pStyle w:val="Heading2"/>
      </w:pPr>
      <w:r>
        <w:t xml:space="preserve">3.3 Sync your tasks</w:t>
      </w:r>
    </w:p>
    <w:p>
      <w:pPr>
        <w:spacing w:after="120"/>
      </w:pPr>
      <w:r>
        <w:t xml:space="preserve">Tray icon → Sync Jira. This pulls your assigned, not-done issues. Only Task, Sub-task, Bug, and Improvement types are loaded (others like CRS / SRS are ignored).</w:t>
      </w:r>
    </w:p>
    <w:p>
      <w:pPr>
        <w:pStyle w:val="Heading1"/>
      </w:pPr>
      <w:r>
        <w:t xml:space="preserve">4. The System Tray Menu</w:t>
      </w:r>
    </w:p>
    <w:p>
      <w:pPr>
        <w:spacing w:after="120"/>
      </w:pPr>
      <w:r>
        <w:t xml:space="preserve">Right-click the tray icon: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5B21B6" w:color="auto" w:val="clear"/>
            <w:tcMar>
              <w:top w:type="dxa" w:w="60"/>
              <w:left w:type="dxa" w:w="120"/>
              <w:bottom w:type="dxa" w:w="60"/>
              <w:right w:type="dxa" w:w="120"/>
            </w:tcMar>
            <w:vAlign w:val="center"/>
          </w:tcPr>
          <w:p>
            <w:pPr>
              <w:spacing w:after="0"/>
            </w:pPr>
            <w:r>
              <w:rPr>
                <w:b/>
                <w:bCs/>
                <w:color w:val="FFFFFF"/>
              </w:rPr>
              <w:t xml:space="preserve"/>
            </w:r>
          </w:p>
        </w:tc>
        <w:tc>
          <w:tcPr>
            <w:tcW w:type="dxa" w:w="6960"/>
            <w:shd w:fill="5B21B6" w:color="auto" w:val="clear"/>
            <w:tcMar>
              <w:top w:type="dxa" w:w="60"/>
              <w:left w:type="dxa" w:w="120"/>
              <w:bottom w:type="dxa" w:w="60"/>
              <w:right w:type="dxa" w:w="120"/>
            </w:tcMar>
            <w:vAlign w:val="center"/>
          </w:tcPr>
          <w:p>
            <w:pPr>
              <w:spacing w:after="0"/>
            </w:pPr>
            <w:r>
              <w:rPr>
                <w:b/>
                <w:bCs/>
                <w:color w:val="FFFFFF"/>
              </w:rPr>
              <w:t xml:space="preserve"/>
            </w:r>
          </w:p>
        </w:tc>
      </w:tr>
      <w:tr>
        <w:tc>
          <w:tcPr>
            <w:tcW w:type="dxa" w:w="2400"/>
            <w:tcMar>
              <w:top w:type="dxa" w:w="60"/>
              <w:left w:type="dxa" w:w="120"/>
              <w:bottom w:type="dxa" w:w="60"/>
              <w:right w:type="dxa" w:w="120"/>
            </w:tcMar>
            <w:vAlign w:val="center"/>
          </w:tcPr>
          <w:p>
            <w:pPr>
              <w:spacing w:after="0"/>
            </w:pPr>
            <w:r>
              <w:t xml:space="preserve">New Note</w:t>
            </w:r>
          </w:p>
        </w:tc>
        <w:tc>
          <w:tcPr>
            <w:tcW w:type="dxa" w:w="6960"/>
            <w:tcMar>
              <w:top w:type="dxa" w:w="60"/>
              <w:left w:type="dxa" w:w="120"/>
              <w:bottom w:type="dxa" w:w="60"/>
              <w:right w:type="dxa" w:w="120"/>
            </w:tcMar>
            <w:vAlign w:val="center"/>
          </w:tcPr>
          <w:p>
            <w:pPr>
              <w:spacing w:after="0"/>
            </w:pPr>
            <w:r>
              <w:t xml:space="preserve">Open a new capture window (also: double-click the tray icon)</w:t>
            </w:r>
          </w:p>
        </w:tc>
      </w:tr>
      <w:tr>
        <w:tc>
          <w:tcPr>
            <w:tcW w:type="dxa" w:w="2400"/>
            <w:tcMar>
              <w:top w:type="dxa" w:w="60"/>
              <w:left w:type="dxa" w:w="120"/>
              <w:bottom w:type="dxa" w:w="60"/>
              <w:right w:type="dxa" w:w="120"/>
            </w:tcMar>
            <w:vAlign w:val="center"/>
          </w:tcPr>
          <w:p>
            <w:pPr>
              <w:spacing w:after="0"/>
            </w:pPr>
            <w:r>
              <w:t xml:space="preserve">Jira Tasks</w:t>
            </w:r>
          </w:p>
        </w:tc>
        <w:tc>
          <w:tcPr>
            <w:tcW w:type="dxa" w:w="6960"/>
            <w:tcMar>
              <w:top w:type="dxa" w:w="60"/>
              <w:left w:type="dxa" w:w="120"/>
              <w:bottom w:type="dxa" w:w="60"/>
              <w:right w:type="dxa" w:w="120"/>
            </w:tcMar>
            <w:vAlign w:val="center"/>
          </w:tcPr>
          <w:p>
            <w:pPr>
              <w:spacing w:after="0"/>
            </w:pPr>
            <w:r>
              <w:t xml:space="preserve">Browse your synced issues; double-click one to open a note for it</w:t>
            </w:r>
          </w:p>
        </w:tc>
      </w:tr>
      <w:tr>
        <w:tc>
          <w:tcPr>
            <w:tcW w:type="dxa" w:w="2400"/>
            <w:tcMar>
              <w:top w:type="dxa" w:w="60"/>
              <w:left w:type="dxa" w:w="120"/>
              <w:bottom w:type="dxa" w:w="60"/>
              <w:right w:type="dxa" w:w="120"/>
            </w:tcMar>
            <w:vAlign w:val="center"/>
          </w:tcPr>
          <w:p>
            <w:pPr>
              <w:spacing w:after="0"/>
            </w:pPr>
            <w:r>
              <w:t xml:space="preserve">Dashboard</w:t>
            </w:r>
          </w:p>
        </w:tc>
        <w:tc>
          <w:tcPr>
            <w:tcW w:type="dxa" w:w="6960"/>
            <w:tcMar>
              <w:top w:type="dxa" w:w="60"/>
              <w:left w:type="dxa" w:w="120"/>
              <w:bottom w:type="dxa" w:w="60"/>
              <w:right w:type="dxa" w:w="120"/>
            </w:tcMar>
            <w:vAlign w:val="center"/>
          </w:tcPr>
          <w:p>
            <w:pPr>
              <w:spacing w:after="0"/>
            </w:pPr>
            <w:r>
              <w:t xml:space="preserve">Stats, daily summary, standup generator</w:t>
            </w:r>
          </w:p>
        </w:tc>
      </w:tr>
      <w:tr>
        <w:tc>
          <w:tcPr>
            <w:tcW w:type="dxa" w:w="2400"/>
            <w:tcMar>
              <w:top w:type="dxa" w:w="60"/>
              <w:left w:type="dxa" w:w="120"/>
              <w:bottom w:type="dxa" w:w="60"/>
              <w:right w:type="dxa" w:w="120"/>
            </w:tcMar>
            <w:vAlign w:val="center"/>
          </w:tcPr>
          <w:p>
            <w:pPr>
              <w:spacing w:after="0"/>
            </w:pPr>
            <w:r>
              <w:t xml:space="preserve">Sync Jira</w:t>
            </w:r>
          </w:p>
        </w:tc>
        <w:tc>
          <w:tcPr>
            <w:tcW w:type="dxa" w:w="6960"/>
            <w:tcMar>
              <w:top w:type="dxa" w:w="60"/>
              <w:left w:type="dxa" w:w="120"/>
              <w:bottom w:type="dxa" w:w="60"/>
              <w:right w:type="dxa" w:w="120"/>
            </w:tcMar>
            <w:vAlign w:val="center"/>
          </w:tcPr>
          <w:p>
            <w:pPr>
              <w:spacing w:after="0"/>
            </w:pPr>
            <w:r>
              <w:t xml:space="preserve">Refresh issues from Jira</w:t>
            </w:r>
          </w:p>
        </w:tc>
      </w:tr>
      <w:tr>
        <w:tc>
          <w:tcPr>
            <w:tcW w:type="dxa" w:w="2400"/>
            <w:tcMar>
              <w:top w:type="dxa" w:w="60"/>
              <w:left w:type="dxa" w:w="120"/>
              <w:bottom w:type="dxa" w:w="60"/>
              <w:right w:type="dxa" w:w="120"/>
            </w:tcMar>
            <w:vAlign w:val="center"/>
          </w:tcPr>
          <w:p>
            <w:pPr>
              <w:spacing w:after="0"/>
            </w:pPr>
            <w:r>
              <w:t xml:space="preserve">Settings</w:t>
            </w:r>
          </w:p>
        </w:tc>
        <w:tc>
          <w:tcPr>
            <w:tcW w:type="dxa" w:w="6960"/>
            <w:tcMar>
              <w:top w:type="dxa" w:w="60"/>
              <w:left w:type="dxa" w:w="120"/>
              <w:bottom w:type="dxa" w:w="60"/>
              <w:right w:type="dxa" w:w="120"/>
            </w:tcMar>
            <w:vAlign w:val="center"/>
          </w:tcPr>
          <w:p>
            <w:pPr>
              <w:spacing w:after="0"/>
            </w:pPr>
            <w:r>
              <w:t xml:space="preserve">Configure Jira, AI, Auto Log, General</w:t>
            </w:r>
          </w:p>
        </w:tc>
      </w:tr>
      <w:tr>
        <w:tc>
          <w:tcPr>
            <w:tcW w:type="dxa" w:w="2400"/>
            <w:tcMar>
              <w:top w:type="dxa" w:w="60"/>
              <w:left w:type="dxa" w:w="120"/>
              <w:bottom w:type="dxa" w:w="60"/>
              <w:right w:type="dxa" w:w="120"/>
            </w:tcMar>
            <w:vAlign w:val="center"/>
          </w:tcPr>
          <w:p>
            <w:pPr>
              <w:spacing w:after="0"/>
            </w:pPr>
            <w:r>
              <w:t xml:space="preserve">Exit</w:t>
            </w:r>
          </w:p>
        </w:tc>
        <w:tc>
          <w:tcPr>
            <w:tcW w:type="dxa" w:w="6960"/>
            <w:tcMar>
              <w:top w:type="dxa" w:w="60"/>
              <w:left w:type="dxa" w:w="120"/>
              <w:bottom w:type="dxa" w:w="60"/>
              <w:right w:type="dxa" w:w="120"/>
            </w:tcMar>
            <w:vAlign w:val="center"/>
          </w:tcPr>
          <w:p>
            <w:pPr>
              <w:spacing w:after="0"/>
            </w:pPr>
            <w:r>
              <w:t xml:space="preserve">Quit the application</w:t>
            </w:r>
          </w:p>
        </w:tc>
      </w:tr>
    </w:tbl>
    <w:p>
      <w:pPr>
        <w:pStyle w:val="Heading1"/>
      </w:pPr>
      <w:r>
        <w:t xml:space="preserve">5. Capturing Work — The Note Window</w:t>
      </w:r>
    </w:p>
    <w:p>
      <w:pPr>
        <w:spacing w:after="120"/>
      </w:pPr>
      <w:r>
        <w:t xml:space="preserve">Each note is a small, resizable, sticky-note-style window with its own color. You can open several at once, each a different color.</w:t>
      </w:r>
    </w:p>
    <w:p>
      <w:pPr>
        <w:pStyle w:val="Heading2"/>
      </w:pPr>
      <w:r>
        <w:t xml:space="preserve">5.1 Anatomy</w:t>
      </w:r>
    </w:p>
    <w:p>
      <w:pPr>
        <w:pStyle w:val="ListParagraph"/>
        <w:numPr>
          <w:ilvl w:val="0"/>
          <w:numId w:val="2"/>
        </w:numPr>
        <w:spacing w:after="40"/>
      </w:pPr>
      <w:r>
        <w:rPr>
          <w:b/>
          <w:bCs/>
        </w:rPr>
        <w:t xml:space="preserve">Header:</w:t>
      </w:r>
      <w:r>
        <w:t xml:space="preserve"> the Smart toggle (left), the selected task (or a search box), minimize, close.</w:t>
      </w:r>
    </w:p>
    <w:p>
      <w:pPr>
        <w:pStyle w:val="ListParagraph"/>
        <w:numPr>
          <w:ilvl w:val="0"/>
          <w:numId w:val="2"/>
        </w:numPr>
        <w:spacing w:after="40"/>
      </w:pPr>
      <w:r>
        <w:rPr>
          <w:b/>
          <w:bCs/>
        </w:rPr>
        <w:t xml:space="preserve">Formatting toolbar:</w:t>
      </w:r>
      <w:r>
        <w:t xml:space="preserve"> Bold, Italic, Underline, Strikethrough, bullet list, numbered list, A+/A− size.</w:t>
      </w:r>
    </w:p>
    <w:p>
      <w:pPr>
        <w:pStyle w:val="ListParagraph"/>
        <w:numPr>
          <w:ilvl w:val="0"/>
          <w:numId w:val="2"/>
        </w:numPr>
        <w:spacing w:after="40"/>
      </w:pPr>
      <w:r>
        <w:rPr>
          <w:b/>
          <w:bCs/>
        </w:rPr>
        <w:t xml:space="preserve">Writing panel:</w:t>
      </w:r>
      <w:r>
        <w:t xml:space="preserve"> type freely — this is your note paper.</w:t>
      </w:r>
    </w:p>
    <w:p>
      <w:pPr>
        <w:pStyle w:val="ListParagraph"/>
        <w:numPr>
          <w:ilvl w:val="0"/>
          <w:numId w:val="2"/>
        </w:numPr>
        <w:spacing w:after="40"/>
      </w:pPr>
      <w:r>
        <w:rPr>
          <w:b/>
          <w:bCs/>
        </w:rPr>
        <w:t xml:space="preserve">Footer:</w:t>
      </w:r>
      <w:r>
        <w:t xml:space="preserve"> Hours/Minutes time spinners and the Log now button.</w:t>
      </w:r>
    </w:p>
    <w:p>
      <w:pPr>
        <w:pStyle w:val="Heading2"/>
      </w:pPr>
      <w:r>
        <w:t xml:space="preserve">5.2 Picking a task (Manual mode)</w:t>
      </w:r>
    </w:p>
    <w:p>
      <w:pPr>
        <w:pStyle w:val="ListParagraph"/>
        <w:numPr>
          <w:ilvl w:val="0"/>
          <w:numId w:val="3"/>
        </w:numPr>
        <w:spacing w:after="40"/>
      </w:pPr>
      <w:r>
        <w:t xml:space="preserve">After syncing, a search dropdown appears below the header.</w:t>
      </w:r>
    </w:p>
    <w:p>
      <w:pPr>
        <w:pStyle w:val="ListParagraph"/>
        <w:numPr>
          <w:ilvl w:val="0"/>
          <w:numId w:val="3"/>
        </w:numPr>
        <w:spacing w:after="40"/>
      </w:pPr>
      <w:r>
        <w:t xml:space="preserve">Type to filter by key or summary, then select a task.</w:t>
      </w:r>
    </w:p>
    <w:p>
      <w:pPr>
        <w:pStyle w:val="ListParagraph"/>
        <w:numPr>
          <w:ilvl w:val="0"/>
          <w:numId w:val="3"/>
        </w:numPr>
        <w:spacing w:after="40"/>
      </w:pPr>
      <w:r>
        <w:t xml:space="preserve">The header collapses to </w:t>
      </w:r>
      <w:r>
        <w:rPr>
          <w:b/>
          <w:bCs/>
        </w:rPr>
        <w:t xml:space="preserve">KEY — Summary</w:t>
      </w:r>
      <w:r>
        <w:t xml:space="preserve"> with a pencil (✎) icon.</w:t>
      </w:r>
    </w:p>
    <w:p>
      <w:pPr>
        <w:pStyle w:val="ListParagraph"/>
        <w:numPr>
          <w:ilvl w:val="0"/>
          <w:numId w:val="3"/>
        </w:numPr>
        <w:spacing w:after="40"/>
      </w:pPr>
      <w:r>
        <w:t xml:space="preserve">Click the pencil any time to switch to a different task.</w:t>
      </w:r>
    </w:p>
    <w:p>
      <w:pPr>
        <w:pBdr>
          <w:left w:val="single" w:color="5B21B6" w:sz="18" w:space="8"/>
        </w:pBdr>
        <w:spacing w:after="120" w:before="60"/>
        <w:ind w:left="240"/>
      </w:pPr>
      <w:r>
        <w:rPr>
          <w:b/>
          <w:bCs/>
          <w:color w:val="5B21B6"/>
        </w:rPr>
        <w:t xml:space="preserve">Note  </w:t>
      </w:r>
      <w:r>
        <w:t xml:space="preserve">A task open in one window is removed from other windows’ dropdowns, so you cannot log the same task in two places at once.</w:t>
      </w:r>
    </w:p>
    <w:p>
      <w:pPr>
        <w:pStyle w:val="Heading2"/>
      </w:pPr>
      <w:r>
        <w:t xml:space="preserve">5.3 Writing notes &amp; time</w:t>
      </w:r>
    </w:p>
    <w:p>
      <w:pPr>
        <w:spacing w:after="120"/>
      </w:pPr>
      <w:r>
        <w:t xml:space="preserve">Type each thing you did and format it with the toolbar. Everything autosaves — there is no Save button, and your text is restored if the app restarts. Set Hours and Minutes in the footer (type directly or use the up/down arrows).</w:t>
      </w:r>
    </w:p>
    <w:p>
      <w:pPr>
        <w:pStyle w:val="Heading1"/>
      </w:pPr>
      <w:r>
        <w:t xml:space="preserve">6. Logging Work to Jira</w:t>
      </w:r>
    </w:p>
    <w:p>
      <w:pPr>
        <w:pStyle w:val="Heading2"/>
      </w:pPr>
      <w:r>
        <w:t xml:space="preserve">6.1 Manual logging (with review)</w:t>
      </w:r>
    </w:p>
    <w:p>
      <w:pPr>
        <w:pStyle w:val="ListParagraph"/>
        <w:numPr>
          <w:ilvl w:val="0"/>
          <w:numId w:val="3"/>
        </w:numPr>
        <w:spacing w:after="40"/>
      </w:pPr>
      <w:r>
        <w:t xml:space="preserve">Write your notes, set the time, and click </w:t>
      </w:r>
      <w:r>
        <w:rPr>
          <w:b/>
          <w:bCs/>
        </w:rPr>
        <w:t xml:space="preserve">Log now</w:t>
      </w:r>
      <w:r>
        <w:t xml:space="preserve">.</w:t>
      </w:r>
    </w:p>
    <w:p>
      <w:pPr>
        <w:pStyle w:val="ListParagraph"/>
        <w:numPr>
          <w:ilvl w:val="0"/>
          <w:numId w:val="3"/>
        </w:numPr>
        <w:spacing w:after="40"/>
      </w:pPr>
      <w:r>
        <w:t xml:space="preserve">The AI polishes your notes into a professional work log.</w:t>
      </w:r>
    </w:p>
    <w:p>
      <w:pPr>
        <w:pStyle w:val="ListParagraph"/>
        <w:numPr>
          <w:ilvl w:val="0"/>
          <w:numId w:val="3"/>
        </w:numPr>
        <w:spacing w:after="40"/>
      </w:pPr>
      <w:r>
        <w:t xml:space="preserve">A review window opens — edit the wording and time if needed.</w:t>
      </w:r>
    </w:p>
    <w:p>
      <w:pPr>
        <w:pStyle w:val="ListParagraph"/>
        <w:numPr>
          <w:ilvl w:val="0"/>
          <w:numId w:val="3"/>
        </w:numPr>
        <w:spacing w:after="40"/>
      </w:pPr>
      <w:r>
        <w:t xml:space="preserve">Click </w:t>
      </w:r>
      <w:r>
        <w:rPr>
          <w:b/>
          <w:bCs/>
        </w:rPr>
        <w:t xml:space="preserve">Submit to Jira</w:t>
      </w:r>
      <w:r>
        <w:t xml:space="preserve">. On success the panel clears and you get a confirmation; on failure you see an error message (check the log).</w:t>
      </w:r>
    </w:p>
    <w:p>
      <w:pPr>
        <w:pStyle w:val="Heading2"/>
      </w:pPr>
      <w:r>
        <w:t xml:space="preserve">6.2 Automatic logging</w:t>
      </w:r>
    </w:p>
    <w:p>
      <w:pPr>
        <w:spacing w:after="120"/>
      </w:pPr>
      <w:r>
        <w:t xml:space="preserve">If Auto Logging is enabled in Settings → Auto Log:</w:t>
      </w:r>
    </w:p>
    <w:p>
      <w:pPr>
        <w:pStyle w:val="ListParagraph"/>
        <w:numPr>
          <w:ilvl w:val="0"/>
          <w:numId w:val="2"/>
        </w:numPr>
        <w:spacing w:after="40"/>
      </w:pPr>
      <w:r>
        <w:t xml:space="preserve">The Log now button is hidden (logging is automatic).</w:t>
      </w:r>
    </w:p>
    <w:p>
      <w:pPr>
        <w:pStyle w:val="ListParagraph"/>
        <w:numPr>
          <w:ilvl w:val="0"/>
          <w:numId w:val="2"/>
        </w:numPr>
        <w:spacing w:after="40"/>
      </w:pPr>
      <w:r>
        <w:t xml:space="preserve">At the configured time, each open task note is submitted as written (no AI rewrite, no review), preserving your formatting as Jira wiki markup. The note is then cleared.</w:t>
      </w:r>
    </w:p>
    <w:p>
      <w:pPr>
        <w:pStyle w:val="Heading1"/>
      </w:pPr>
      <w:r>
        <w:t xml:space="preserve">7. AI Smart Distribution</w:t>
      </w:r>
    </w:p>
    <w:p>
      <w:pPr>
        <w:spacing w:after="120"/>
      </w:pPr>
      <w:r>
        <w:t xml:space="preserve">Use this when you worked on several tasks but did not track which note belongs to which.</w:t>
      </w:r>
    </w:p>
    <w:p>
      <w:pPr>
        <w:pStyle w:val="ListParagraph"/>
        <w:numPr>
          <w:ilvl w:val="0"/>
          <w:numId w:val="3"/>
        </w:numPr>
        <w:spacing w:after="40"/>
      </w:pPr>
      <w:r>
        <w:t xml:space="preserve">In a note window, turn on the </w:t>
      </w:r>
      <w:r>
        <w:rPr>
          <w:b/>
          <w:bCs/>
        </w:rPr>
        <w:t xml:space="preserve">Smart</w:t>
      </w:r>
      <w:r>
        <w:t xml:space="preserve"> toggle (the window turns purple). The panel starts empty.</w:t>
      </w:r>
    </w:p>
    <w:p>
      <w:pPr>
        <w:pStyle w:val="ListParagraph"/>
        <w:numPr>
          <w:ilvl w:val="0"/>
          <w:numId w:val="3"/>
        </w:numPr>
        <w:spacing w:after="40"/>
      </w:pPr>
      <w:r>
        <w:t xml:space="preserve">Write all your notes freely, one per line.</w:t>
      </w:r>
    </w:p>
    <w:p>
      <w:pPr>
        <w:pStyle w:val="ListParagraph"/>
        <w:numPr>
          <w:ilvl w:val="0"/>
          <w:numId w:val="3"/>
        </w:numPr>
        <w:spacing w:after="40"/>
      </w:pPr>
      <w:r>
        <w:t xml:space="preserve">Enter the total time you want split across tasks.</w:t>
      </w:r>
    </w:p>
    <w:p>
      <w:pPr>
        <w:pStyle w:val="ListParagraph"/>
        <w:numPr>
          <w:ilvl w:val="0"/>
          <w:numId w:val="3"/>
        </w:numPr>
        <w:spacing w:after="40"/>
      </w:pPr>
      <w:r>
        <w:t xml:space="preserve">Click </w:t>
      </w:r>
      <w:r>
        <w:rPr>
          <w:b/>
          <w:bCs/>
        </w:rPr>
        <w:t xml:space="preserve">Log now</w:t>
      </w:r>
      <w:r>
        <w:t xml:space="preserve">. The AI matches each note to the best Jira task, polishes each note into a bullet point under its task, and splits your total time by estimated effort.</w:t>
      </w:r>
    </w:p>
    <w:p>
      <w:pPr>
        <w:pStyle w:val="ListParagraph"/>
        <w:numPr>
          <w:ilvl w:val="0"/>
          <w:numId w:val="3"/>
        </w:numPr>
        <w:spacing w:after="40"/>
      </w:pPr>
      <w:r>
        <w:t xml:space="preserve">A review window lists each task with confidence %, the editable bulleted work log, an editable time, and a ✕ button to drop a task. A running Allocated / target total turns green when they match.</w:t>
      </w:r>
    </w:p>
    <w:p>
      <w:pPr>
        <w:pStyle w:val="ListParagraph"/>
        <w:numPr>
          <w:ilvl w:val="0"/>
          <w:numId w:val="3"/>
        </w:numPr>
        <w:spacing w:after="40"/>
      </w:pPr>
      <w:r>
        <w:t xml:space="preserve">Click </w:t>
      </w:r>
      <w:r>
        <w:rPr>
          <w:b/>
          <w:bCs/>
        </w:rPr>
        <w:t xml:space="preserve">Submit to Jira</w:t>
      </w:r>
      <w:r>
        <w:t xml:space="preserve">. Low-confidence matches are flagged so you can double-check.</w:t>
      </w:r>
    </w:p>
    <w:p>
      <w:pPr>
        <w:pStyle w:val="Heading1"/>
      </w:pPr>
      <w:r>
        <w:t xml:space="preserve">8. Dashboard</w:t>
      </w:r>
    </w:p>
    <w:p>
      <w:pPr>
        <w:spacing w:after="120"/>
      </w:pPr>
      <w:r>
        <w:t xml:space="preserve">Tray → Dashboard:</w:t>
      </w:r>
    </w:p>
    <w:p>
      <w:pPr>
        <w:pStyle w:val="ListParagraph"/>
        <w:numPr>
          <w:ilvl w:val="0"/>
          <w:numId w:val="2"/>
        </w:numPr>
        <w:spacing w:after="40"/>
      </w:pPr>
      <w:r>
        <w:rPr>
          <w:b/>
          <w:bCs/>
        </w:rPr>
        <w:t xml:space="preserve">Today’s stats</w:t>
      </w:r>
      <w:r>
        <w:t xml:space="preserve"> — tasks, hours logged, pending notes.</w:t>
      </w:r>
    </w:p>
    <w:p>
      <w:pPr>
        <w:pStyle w:val="ListParagraph"/>
        <w:numPr>
          <w:ilvl w:val="0"/>
          <w:numId w:val="2"/>
        </w:numPr>
        <w:spacing w:after="40"/>
      </w:pPr>
      <w:r>
        <w:rPr>
          <w:b/>
          <w:bCs/>
        </w:rPr>
        <w:t xml:space="preserve">Generate Daily Summary</w:t>
      </w:r>
      <w:r>
        <w:t xml:space="preserve"> — an AI paragraph of today’s accomplishments.</w:t>
      </w:r>
    </w:p>
    <w:p>
      <w:pPr>
        <w:pStyle w:val="ListParagraph"/>
        <w:numPr>
          <w:ilvl w:val="0"/>
          <w:numId w:val="2"/>
        </w:numPr>
        <w:spacing w:after="40"/>
      </w:pPr>
      <w:r>
        <w:rPr>
          <w:b/>
          <w:bCs/>
        </w:rPr>
        <w:t xml:space="preserve">Generate Standup</w:t>
      </w:r>
      <w:r>
        <w:t xml:space="preserve"> — an AI scrum stand-up built from your recent work logs and open notes, with Update / Blockers / Risks headings. Blockers and risks are inferred from your work (or shown as “None”).</w:t>
      </w:r>
    </w:p>
    <w:p>
      <w:pPr>
        <w:pStyle w:val="ListParagraph"/>
        <w:numPr>
          <w:ilvl w:val="0"/>
          <w:numId w:val="2"/>
        </w:numPr>
        <w:spacing w:after="40"/>
      </w:pPr>
      <w:r>
        <w:rPr>
          <w:b/>
          <w:bCs/>
        </w:rPr>
        <w:t xml:space="preserve">Active issues</w:t>
      </w:r>
      <w:r>
        <w:t xml:space="preserve"> and recent submission history.</w:t>
      </w:r>
    </w:p>
    <w:p>
      <w:pPr>
        <w:pBdr>
          <w:top w:val="single" w:color="E5E7EB" w:sz="4"/>
          <w:bottom w:val="single" w:color="E5E7EB" w:sz="4"/>
          <w:left w:val="single" w:color="E5E7EB" w:sz="4"/>
          <w:right w:val="single" w:color="E5E7EB" w:sz="4"/>
        </w:pBdr>
        <w:shd w:fill="F3F4F6" w:color="auto" w:val="clear"/>
        <w:spacing w:after="120" w:before="60"/>
      </w:pPr>
      <w:r>
        <w:rPr>
          <w:rFonts w:ascii="Consolas" w:cs="Consolas" w:eastAsia="Consolas" w:hAnsi="Consolas"/>
          <w:sz w:val="18"/>
          <w:szCs w:val="18"/>
        </w:rPr>
        <w:t xml:space="preserve">Update:</w:t>
      </w:r>
      <w:r>
        <w:rPr>
          <w:rFonts w:ascii="Consolas" w:cs="Consolas" w:eastAsia="Consolas" w:hAnsi="Consolas"/>
          <w:sz w:val="18"/>
          <w:szCs w:val="18"/>
        </w:rPr>
        <w:br/>
        <w:t xml:space="preserve">- ...</w:t>
      </w:r>
      <w:r>
        <w:rPr>
          <w:rFonts w:ascii="Consolas" w:cs="Consolas" w:eastAsia="Consolas" w:hAnsi="Consolas"/>
          <w:sz w:val="18"/>
          <w:szCs w:val="18"/>
        </w:rPr>
        <w:br/>
        <w:t xml:space="preserve">Blockers:</w:t>
      </w:r>
      <w:r>
        <w:rPr>
          <w:rFonts w:ascii="Consolas" w:cs="Consolas" w:eastAsia="Consolas" w:hAnsi="Consolas"/>
          <w:sz w:val="18"/>
          <w:szCs w:val="18"/>
        </w:rPr>
        <w:br/>
        <w:t xml:space="preserve">- ...</w:t>
      </w:r>
      <w:r>
        <w:rPr>
          <w:rFonts w:ascii="Consolas" w:cs="Consolas" w:eastAsia="Consolas" w:hAnsi="Consolas"/>
          <w:sz w:val="18"/>
          <w:szCs w:val="18"/>
        </w:rPr>
        <w:br/>
        <w:t xml:space="preserve">Risks:</w:t>
      </w:r>
      <w:r>
        <w:rPr>
          <w:rFonts w:ascii="Consolas" w:cs="Consolas" w:eastAsia="Consolas" w:hAnsi="Consolas"/>
          <w:sz w:val="18"/>
          <w:szCs w:val="18"/>
        </w:rPr>
        <w:br/>
        <w:t xml:space="preserve">- ...</w:t>
      </w:r>
    </w:p>
    <w:p>
      <w:pPr>
        <w:pStyle w:val="Heading1"/>
      </w:pPr>
      <w:r>
        <w:t xml:space="preserve">9. Settings Reference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7560"/>
      </w:tblGrid>
      <w:tr>
        <w:trPr>
          <w:tblHeader/>
        </w:trPr>
        <w:tc>
          <w:tcPr>
            <w:tcW w:type="dxa" w:w="1800"/>
            <w:shd w:fill="5B21B6" w:color="auto" w:val="clear"/>
            <w:tcMar>
              <w:top w:type="dxa" w:w="60"/>
              <w:left w:type="dxa" w:w="120"/>
              <w:bottom w:type="dxa" w:w="60"/>
              <w:right w:type="dxa" w:w="120"/>
            </w:tcMar>
            <w:vAlign w:val="center"/>
          </w:tcPr>
          <w:p>
            <w:pPr>
              <w:spacing w:after="0"/>
            </w:pPr>
            <w:r>
              <w:rPr>
                <w:b/>
                <w:bCs/>
                <w:color w:val="FFFFFF"/>
              </w:rPr>
              <w:t xml:space="preserve"/>
            </w:r>
          </w:p>
        </w:tc>
        <w:tc>
          <w:tcPr>
            <w:tcW w:type="dxa" w:w="7560"/>
            <w:shd w:fill="5B21B6" w:color="auto" w:val="clear"/>
            <w:tcMar>
              <w:top w:type="dxa" w:w="60"/>
              <w:left w:type="dxa" w:w="120"/>
              <w:bottom w:type="dxa" w:w="60"/>
              <w:right w:type="dxa" w:w="120"/>
            </w:tcMar>
            <w:vAlign w:val="center"/>
          </w:tcPr>
          <w:p>
            <w:pPr>
              <w:spacing w:after="0"/>
            </w:pPr>
            <w:r>
              <w:rPr>
                <w:b/>
                <w:bCs/>
                <w:color w:val="FFFFFF"/>
              </w:rPr>
              <w:t xml:space="preserve"/>
            </w:r>
          </w:p>
        </w:tc>
      </w:tr>
      <w:tr>
        <w:tc>
          <w:tcPr>
            <w:tcW w:type="dxa" w:w="1800"/>
            <w:tcMar>
              <w:top w:type="dxa" w:w="60"/>
              <w:left w:type="dxa" w:w="120"/>
              <w:bottom w:type="dxa" w:w="60"/>
              <w:right w:type="dxa" w:w="120"/>
            </w:tcMar>
            <w:vAlign w:val="center"/>
          </w:tcPr>
          <w:p>
            <w:pPr>
              <w:spacing w:after="0"/>
            </w:pPr>
            <w:r>
              <w:t xml:space="preserve">Jira</w:t>
            </w:r>
          </w:p>
        </w:tc>
        <w:tc>
          <w:tcPr>
            <w:tcW w:type="dxa" w:w="7560"/>
            <w:tcMar>
              <w:top w:type="dxa" w:w="60"/>
              <w:left w:type="dxa" w:w="120"/>
              <w:bottom w:type="dxa" w:w="60"/>
              <w:right w:type="dxa" w:w="120"/>
            </w:tcMar>
            <w:vAlign w:val="center"/>
          </w:tcPr>
          <w:p>
            <w:pPr>
              <w:spacing w:after="0"/>
            </w:pPr>
            <w:r>
              <w:t xml:space="preserve">Base URL, Username, Password, Test Connection</w:t>
            </w:r>
          </w:p>
        </w:tc>
      </w:tr>
      <w:tr>
        <w:tc>
          <w:tcPr>
            <w:tcW w:type="dxa" w:w="1800"/>
            <w:tcMar>
              <w:top w:type="dxa" w:w="60"/>
              <w:left w:type="dxa" w:w="120"/>
              <w:bottom w:type="dxa" w:w="60"/>
              <w:right w:type="dxa" w:w="120"/>
            </w:tcMar>
            <w:vAlign w:val="center"/>
          </w:tcPr>
          <w:p>
            <w:pPr>
              <w:spacing w:after="0"/>
            </w:pPr>
            <w:r>
              <w:t xml:space="preserve">AI</w:t>
            </w:r>
          </w:p>
        </w:tc>
        <w:tc>
          <w:tcPr>
            <w:tcW w:type="dxa" w:w="7560"/>
            <w:tcMar>
              <w:top w:type="dxa" w:w="60"/>
              <w:left w:type="dxa" w:w="120"/>
              <w:bottom w:type="dxa" w:w="60"/>
              <w:right w:type="dxa" w:w="120"/>
            </w:tcMar>
            <w:vAlign w:val="center"/>
          </w:tcPr>
          <w:p>
            <w:pPr>
              <w:spacing w:after="0"/>
            </w:pPr>
            <w:r>
              <w:t xml:space="preserve">API Base URL, API Key, Model Name, Test AI Connection</w:t>
            </w:r>
          </w:p>
        </w:tc>
      </w:tr>
      <w:tr>
        <w:tc>
          <w:tcPr>
            <w:tcW w:type="dxa" w:w="1800"/>
            <w:tcMar>
              <w:top w:type="dxa" w:w="60"/>
              <w:left w:type="dxa" w:w="120"/>
              <w:bottom w:type="dxa" w:w="60"/>
              <w:right w:type="dxa" w:w="120"/>
            </w:tcMar>
            <w:vAlign w:val="center"/>
          </w:tcPr>
          <w:p>
            <w:pPr>
              <w:spacing w:after="0"/>
            </w:pPr>
            <w:r>
              <w:t xml:space="preserve">Auto Log</w:t>
            </w:r>
          </w:p>
        </w:tc>
        <w:tc>
          <w:tcPr>
            <w:tcW w:type="dxa" w:w="7560"/>
            <w:tcMar>
              <w:top w:type="dxa" w:w="60"/>
              <w:left w:type="dxa" w:w="120"/>
              <w:bottom w:type="dxa" w:w="60"/>
              <w:right w:type="dxa" w:w="120"/>
            </w:tcMar>
            <w:vAlign w:val="center"/>
          </w:tcPr>
          <w:p>
            <w:pPr>
              <w:spacing w:after="0"/>
            </w:pPr>
            <w:r>
              <w:t xml:space="preserve">Enable Auto Logging (off by default); Daily Logging Time (HH:mm)</w:t>
            </w:r>
          </w:p>
        </w:tc>
      </w:tr>
      <w:tr>
        <w:tc>
          <w:tcPr>
            <w:tcW w:type="dxa" w:w="1800"/>
            <w:tcMar>
              <w:top w:type="dxa" w:w="60"/>
              <w:left w:type="dxa" w:w="120"/>
              <w:bottom w:type="dxa" w:w="60"/>
              <w:right w:type="dxa" w:w="120"/>
            </w:tcMar>
            <w:vAlign w:val="center"/>
          </w:tcPr>
          <w:p>
            <w:pPr>
              <w:spacing w:after="0"/>
            </w:pPr>
            <w:r>
              <w:t xml:space="preserve">General</w:t>
            </w:r>
          </w:p>
        </w:tc>
        <w:tc>
          <w:tcPr>
            <w:tcW w:type="dxa" w:w="7560"/>
            <w:tcMar>
              <w:top w:type="dxa" w:w="60"/>
              <w:left w:type="dxa" w:w="120"/>
              <w:bottom w:type="dxa" w:w="60"/>
              <w:right w:type="dxa" w:w="120"/>
            </w:tcMar>
            <w:vAlign w:val="center"/>
          </w:tcPr>
          <w:p>
            <w:pPr>
              <w:spacing w:after="0"/>
            </w:pPr>
            <w:r>
              <w:t xml:space="preserve">Launch on Windows Startup; Require Approval / Archive Notes / Close Windows / Daily Summary; Idle notifications; Smart Distribution minimum confidence</w:t>
            </w:r>
          </w:p>
        </w:tc>
      </w:tr>
    </w:tbl>
    <w:p>
      <w:pPr>
        <w:pBdr>
          <w:left w:val="single" w:color="5B21B6" w:sz="18" w:space="8"/>
        </w:pBdr>
        <w:spacing w:after="120" w:before="60"/>
        <w:ind w:left="240"/>
      </w:pPr>
      <w:r>
        <w:rPr>
          <w:b/>
          <w:bCs/>
          <w:color w:val="5B21B6"/>
        </w:rPr>
        <w:t xml:space="preserve">Note  </w:t>
      </w:r>
      <w:r>
        <w:t xml:space="preserve">Changes save immediately and apply to open windows (for example, enabling Auto Logging hides the Log now button).</w:t>
      </w:r>
    </w:p>
    <w:p>
      <w:pPr>
        <w:pStyle w:val="Heading1"/>
      </w:pPr>
      <w:r>
        <w:t xml:space="preserve">10. Formatting in Jira</w:t>
      </w:r>
    </w:p>
    <w:p>
      <w:pPr>
        <w:spacing w:after="120"/>
      </w:pPr>
      <w:r>
        <w:t xml:space="preserve">The editor supports bold, italic, underline, strikethrough, bullets, and numbered lists. When a note is submitted as-is (auto-logging) the formatting is converted to Jira wiki markup (`*bold*`, `_italic_`, `* bullet`, `# numbered`) so it renders in the worklog.</w:t>
      </w:r>
    </w:p>
    <w:p>
      <w:pPr>
        <w:pBdr>
          <w:left w:val="single" w:color="5B21B6" w:sz="18" w:space="8"/>
        </w:pBdr>
        <w:spacing w:after="120" w:before="60"/>
        <w:ind w:left="240"/>
      </w:pPr>
      <w:r>
        <w:rPr>
          <w:b/>
          <w:bCs/>
          <w:color w:val="5B21B6"/>
        </w:rPr>
        <w:t xml:space="preserve">Note  </w:t>
      </w:r>
      <w:r>
        <w:t xml:space="preserve">Manual and Smart logging submit the AI-polished text, so your typed formatting is replaced by the AI’s clean wording. You can still add wiki markup in the review screen.</w:t>
      </w:r>
    </w:p>
    <w:p>
      <w:pPr>
        <w:pStyle w:val="Heading1"/>
      </w:pPr>
      <w:r>
        <w:t xml:space="preserve">11. Where Your Data Lives</w:t>
      </w:r>
    </w:p>
    <w:p>
      <w:pPr>
        <w:spacing w:after="120"/>
      </w:pPr>
      <w:r>
        <w:t xml:space="preserve">All local data is stored under your user profile:</w:t>
      </w:r>
    </w:p>
    <w:p>
      <w:pPr>
        <w:pBdr>
          <w:top w:val="single" w:color="E5E7EB" w:sz="4"/>
          <w:bottom w:val="single" w:color="E5E7EB" w:sz="4"/>
          <w:left w:val="single" w:color="E5E7EB" w:sz="4"/>
          <w:right w:val="single" w:color="E5E7EB" w:sz="4"/>
        </w:pBdr>
        <w:shd w:fill="F3F4F6" w:color="auto" w:val="clear"/>
        <w:spacing w:after="120" w:before="60"/>
      </w:pPr>
      <w:r>
        <w:rPr>
          <w:rFonts w:ascii="Consolas" w:cs="Consolas" w:eastAsia="Consolas" w:hAnsi="Consolas"/>
          <w:sz w:val="18"/>
          <w:szCs w:val="18"/>
        </w:rPr>
        <w:t xml:space="preserve">%LocalAppData%\JiraWorkLogAssistant\</w:t>
      </w:r>
      <w:r>
        <w:rPr>
          <w:rFonts w:ascii="Consolas" w:cs="Consolas" w:eastAsia="Consolas" w:hAnsi="Consolas"/>
          <w:sz w:val="18"/>
          <w:szCs w:val="18"/>
        </w:rPr>
        <w:br/>
        <w:t xml:space="preserve">   app.db        (SQLite: tasks, notes, work logs, settings)</w:t>
      </w:r>
      <w:r>
        <w:rPr>
          <w:rFonts w:ascii="Consolas" w:cs="Consolas" w:eastAsia="Consolas" w:hAnsi="Consolas"/>
          <w:sz w:val="18"/>
          <w:szCs w:val="18"/>
        </w:rPr>
        <w:br/>
        <w:t xml:space="preserve">   logs\         (diagnostic logs)</w:t>
      </w:r>
    </w:p>
    <w:p>
      <w:pPr>
        <w:spacing w:after="120"/>
      </w:pPr>
      <w:r>
        <w:t xml:space="preserve">Jira and AI credentials are stored encrypted. This folder is removed if you uninstall the app.</w:t>
      </w:r>
    </w:p>
    <w:p>
      <w:pPr>
        <w:pStyle w:val="Heading1"/>
      </w:pPr>
      <w:r>
        <w:t xml:space="preserve">12. Troubleshooting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shd w:fill="5B21B6" w:color="auto" w:val="clear"/>
            <w:tcMar>
              <w:top w:type="dxa" w:w="60"/>
              <w:left w:type="dxa" w:w="120"/>
              <w:bottom w:type="dxa" w:w="60"/>
              <w:right w:type="dxa" w:w="120"/>
            </w:tcMar>
            <w:vAlign w:val="center"/>
          </w:tcPr>
          <w:p>
            <w:pPr>
              <w:spacing w:after="0"/>
            </w:pPr>
            <w:r>
              <w:rPr>
                <w:b/>
                <w:bCs/>
                <w:color w:val="FFFFFF"/>
              </w:rPr>
              <w:t xml:space="preserve"/>
            </w:r>
          </w:p>
        </w:tc>
        <w:tc>
          <w:tcPr>
            <w:tcW w:type="dxa" w:w="6360"/>
            <w:shd w:fill="5B21B6" w:color="auto" w:val="clear"/>
            <w:tcMar>
              <w:top w:type="dxa" w:w="60"/>
              <w:left w:type="dxa" w:w="120"/>
              <w:bottom w:type="dxa" w:w="60"/>
              <w:right w:type="dxa" w:w="120"/>
            </w:tcMar>
            <w:vAlign w:val="center"/>
          </w:tcPr>
          <w:p>
            <w:pPr>
              <w:spacing w:after="0"/>
            </w:pPr>
            <w:r>
              <w:rPr>
                <w:b/>
                <w:bCs/>
                <w:color w:val="FFFFFF"/>
              </w:rPr>
              <w:t xml:space="preserve"/>
            </w:r>
          </w:p>
        </w:tc>
      </w:tr>
      <w:tr>
        <w:tc>
          <w:tcPr>
            <w:tcW w:type="dxa" w:w="3000"/>
            <w:tcMar>
              <w:top w:type="dxa" w:w="60"/>
              <w:left w:type="dxa" w:w="120"/>
              <w:bottom w:type="dxa" w:w="60"/>
              <w:right w:type="dxa" w:w="120"/>
            </w:tcMar>
            <w:vAlign w:val="center"/>
          </w:tcPr>
          <w:p>
            <w:pPr>
              <w:spacing w:after="0"/>
            </w:pPr>
            <w:r>
              <w:t xml:space="preserve">Jira “Connection failed”</w:t>
            </w:r>
          </w:p>
        </w:tc>
        <w:tc>
          <w:tcPr>
            <w:tcW w:type="dxa" w:w="6360"/>
            <w:tcMar>
              <w:top w:type="dxa" w:w="60"/>
              <w:left w:type="dxa" w:w="120"/>
              <w:bottom w:type="dxa" w:w="60"/>
              <w:right w:type="dxa" w:w="120"/>
            </w:tcMar>
            <w:vAlign w:val="center"/>
          </w:tcPr>
          <w:p>
            <w:pPr>
              <w:spacing w:after="0"/>
            </w:pPr>
            <w:r>
              <w:t xml:space="preserve">Base URL includes your context path (e.g. /jira); correct username/password. Check logs for the HTTP error (401 = auth, 404 = wrong URL).</w:t>
            </w:r>
          </w:p>
        </w:tc>
      </w:tr>
      <w:tr>
        <w:tc>
          <w:tcPr>
            <w:tcW w:type="dxa" w:w="3000"/>
            <w:tcMar>
              <w:top w:type="dxa" w:w="60"/>
              <w:left w:type="dxa" w:w="120"/>
              <w:bottom w:type="dxa" w:w="60"/>
              <w:right w:type="dxa" w:w="120"/>
            </w:tcMar>
            <w:vAlign w:val="center"/>
          </w:tcPr>
          <w:p>
            <w:pPr>
              <w:spacing w:after="0"/>
            </w:pPr>
            <w:r>
              <w:t xml:space="preserve">AI fails but Jira works</w:t>
            </w:r>
          </w:p>
        </w:tc>
        <w:tc>
          <w:tcPr>
            <w:tcW w:type="dxa" w:w="6360"/>
            <w:tcMar>
              <w:top w:type="dxa" w:w="60"/>
              <w:left w:type="dxa" w:w="120"/>
              <w:bottom w:type="dxa" w:w="60"/>
              <w:right w:type="dxa" w:w="120"/>
            </w:tcMar>
            <w:vAlign w:val="center"/>
          </w:tcPr>
          <w:p>
            <w:pPr>
              <w:spacing w:after="0"/>
            </w:pPr>
            <w:r>
              <w:t xml:space="preserve">API Base URL must end at /v1; the app appends /chat/completions. If the model is in the URL path, leave Model Name blank.</w:t>
            </w:r>
          </w:p>
        </w:tc>
      </w:tr>
      <w:tr>
        <w:tc>
          <w:tcPr>
            <w:tcW w:type="dxa" w:w="3000"/>
            <w:tcMar>
              <w:top w:type="dxa" w:w="60"/>
              <w:left w:type="dxa" w:w="120"/>
              <w:bottom w:type="dxa" w:w="60"/>
              <w:right w:type="dxa" w:w="120"/>
            </w:tcMar>
            <w:vAlign w:val="center"/>
          </w:tcPr>
          <w:p>
            <w:pPr>
              <w:spacing w:after="0"/>
            </w:pPr>
            <w:r>
              <w:t xml:space="preserve">CRS/SRS still showing</w:t>
            </w:r>
          </w:p>
        </w:tc>
        <w:tc>
          <w:tcPr>
            <w:tcW w:type="dxa" w:w="6360"/>
            <w:tcMar>
              <w:top w:type="dxa" w:w="60"/>
              <w:left w:type="dxa" w:w="120"/>
              <w:bottom w:type="dxa" w:w="60"/>
              <w:right w:type="dxa" w:w="120"/>
            </w:tcMar>
            <w:vAlign w:val="center"/>
          </w:tcPr>
          <w:p>
            <w:pPr>
              <w:spacing w:after="0"/>
            </w:pPr>
            <w:r>
              <w:t xml:space="preserve">Run Sync Jira once after upgrading — old issues get deactivated.</w:t>
            </w:r>
          </w:p>
        </w:tc>
      </w:tr>
      <w:tr>
        <w:tc>
          <w:tcPr>
            <w:tcW w:type="dxa" w:w="3000"/>
            <w:tcMar>
              <w:top w:type="dxa" w:w="60"/>
              <w:left w:type="dxa" w:w="120"/>
              <w:bottom w:type="dxa" w:w="60"/>
              <w:right w:type="dxa" w:w="120"/>
            </w:tcMar>
            <w:vAlign w:val="center"/>
          </w:tcPr>
          <w:p>
            <w:pPr>
              <w:spacing w:after="0"/>
            </w:pPr>
            <w:r>
              <w:t xml:space="preserve">Submit does nothing</w:t>
            </w:r>
          </w:p>
        </w:tc>
        <w:tc>
          <w:tcPr>
            <w:tcW w:type="dxa" w:w="6360"/>
            <w:tcMar>
              <w:top w:type="dxa" w:w="60"/>
              <w:left w:type="dxa" w:w="120"/>
              <w:bottom w:type="dxa" w:w="60"/>
              <w:right w:type="dxa" w:w="120"/>
            </w:tcMar>
            <w:vAlign w:val="center"/>
          </w:tcPr>
          <w:p>
            <w:pPr>
              <w:spacing w:after="0"/>
            </w:pPr>
            <w:r>
              <w:t xml:space="preserve">Update to the latest version. Check logs; verify time and a non-empty work log.</w:t>
            </w:r>
          </w:p>
        </w:tc>
      </w:tr>
      <w:tr>
        <w:tc>
          <w:tcPr>
            <w:tcW w:type="dxa" w:w="3000"/>
            <w:tcMar>
              <w:top w:type="dxa" w:w="60"/>
              <w:left w:type="dxa" w:w="120"/>
              <w:bottom w:type="dxa" w:w="60"/>
              <w:right w:type="dxa" w:w="120"/>
            </w:tcMar>
            <w:vAlign w:val="center"/>
          </w:tcPr>
          <w:p>
            <w:pPr>
              <w:spacing w:after="0"/>
            </w:pPr>
            <w:r>
              <w:t xml:space="preserve">No standup details</w:t>
            </w:r>
          </w:p>
        </w:tc>
        <w:tc>
          <w:tcPr>
            <w:tcW w:type="dxa" w:w="6360"/>
            <w:tcMar>
              <w:top w:type="dxa" w:w="60"/>
              <w:left w:type="dxa" w:w="120"/>
              <w:bottom w:type="dxa" w:w="60"/>
              <w:right w:type="dxa" w:w="120"/>
            </w:tcMar>
            <w:vAlign w:val="center"/>
          </w:tcPr>
          <w:p>
            <w:pPr>
              <w:spacing w:after="0"/>
            </w:pPr>
            <w:r>
              <w:t xml:space="preserve">Generate it after you have logged some work today.</w:t>
            </w:r>
          </w:p>
        </w:tc>
      </w:tr>
      <w:tr>
        <w:tc>
          <w:tcPr>
            <w:tcW w:type="dxa" w:w="3000"/>
            <w:tcMar>
              <w:top w:type="dxa" w:w="60"/>
              <w:left w:type="dxa" w:w="120"/>
              <w:bottom w:type="dxa" w:w="60"/>
              <w:right w:type="dxa" w:w="120"/>
            </w:tcMar>
            <w:vAlign w:val="center"/>
          </w:tcPr>
          <w:p>
            <w:pPr>
              <w:spacing w:after="0"/>
            </w:pPr>
            <w:r>
              <w:t xml:space="preserve">App not visible</w:t>
            </w:r>
          </w:p>
        </w:tc>
        <w:tc>
          <w:tcPr>
            <w:tcW w:type="dxa" w:w="6360"/>
            <w:tcMar>
              <w:top w:type="dxa" w:w="60"/>
              <w:left w:type="dxa" w:w="120"/>
              <w:bottom w:type="dxa" w:w="60"/>
              <w:right w:type="dxa" w:w="120"/>
            </w:tcMar>
            <w:vAlign w:val="center"/>
          </w:tcPr>
          <w:p>
            <w:pPr>
              <w:spacing w:after="0"/>
            </w:pPr>
            <w:r>
              <w:t xml:space="preserve">It runs in the tray — click the ^ chevron near the clock; double-click the icon for a new note.</w:t>
            </w:r>
          </w:p>
        </w:tc>
      </w:tr>
    </w:tbl>
    <w:p>
      <w:pPr>
        <w:spacing w:after="120"/>
      </w:pPr>
      <w:r>
        <w:t xml:space="preserve">To collect logs for support, open %LocalAppData%\JiraWorkLogAssistant\logs\ and send the newest file.</w:t>
      </w:r>
    </w:p>
    <w:p>
      <w:pPr>
        <w:pStyle w:val="Heading1"/>
      </w:pPr>
      <w:r>
        <w:t xml:space="preserve">13. Uninstalling</w:t>
      </w:r>
    </w:p>
    <w:p>
      <w:pPr>
        <w:spacing w:after="120"/>
      </w:pPr>
      <w:r>
        <w:t xml:space="preserve">Settings → Apps → Jira WorkLog Assistant → Uninstall (or via Add/Remove Programs). This removes the app and its local data folder.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6B7280"/>
        <w:sz w:val="16"/>
        <w:szCs w:val="16"/>
      </w:rPr>
      <w:t xml:space="preserve">Jira WorkLog Assistant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2026-06-25T02:57:20.830Z</dcterms:created>
  <dcterms:modified xsi:type="dcterms:W3CDTF">2026-06-25T02:57:20.831Z</dcterms:modified>
</cp:coreProperties>
</file>

<file path=docProps/custom.xml><?xml version="1.0" encoding="utf-8"?>
<Properties xmlns="http://schemas.openxmlformats.org/officeDocument/2006/custom-properties" xmlns:vt="http://schemas.openxmlformats.org/officeDocument/2006/docPropsVTypes"/>
</file>