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951667"/>
    <w:p w14:paraId="0D8FF433"/>
    <w:p w14:paraId="405DFF35">
      <w:pPr>
        <w:spacing w:after="0"/>
        <w:jc w:val="center"/>
      </w:pPr>
      <w:r>
        <w:rPr>
          <w:rFonts w:ascii="Times New Roman" w:hAnsi="Times New Roman" w:eastAsia="Times New Roman" w:cs="Times New Roman"/>
          <w:sz w:val="24"/>
        </w:rPr>
        <w:t>Федеральное государственное автономное образовательное учреждение</w:t>
      </w:r>
      <w:r>
        <w:rPr>
          <w:rFonts w:ascii="Times New Roman" w:hAnsi="Times New Roman" w:eastAsia="Times New Roman" w:cs="Times New Roman"/>
          <w:sz w:val="24"/>
        </w:rPr>
        <w:br w:type="textWrapping"/>
      </w:r>
      <w:r>
        <w:rPr>
          <w:rFonts w:ascii="Times New Roman" w:hAnsi="Times New Roman" w:eastAsia="Times New Roman" w:cs="Times New Roman"/>
          <w:sz w:val="24"/>
        </w:rPr>
        <w:t>высшего образования</w:t>
      </w:r>
    </w:p>
    <w:p w14:paraId="2A05ADCB">
      <w:pPr>
        <w:spacing w:after="0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«Московский авиационный институт</w:t>
      </w:r>
      <w:r>
        <w:rPr>
          <w:rFonts w:ascii="Times New Roman" w:hAnsi="Times New Roman" w:eastAsia="Times New Roman" w:cs="Times New Roman"/>
          <w:b/>
          <w:sz w:val="24"/>
        </w:rPr>
        <w:br w:type="textWrapping"/>
      </w:r>
      <w:r>
        <w:rPr>
          <w:rFonts w:ascii="Times New Roman" w:hAnsi="Times New Roman" w:eastAsia="Times New Roman" w:cs="Times New Roman"/>
          <w:b/>
          <w:sz w:val="24"/>
        </w:rPr>
        <w:t>(национальный исследовательский университет)»</w:t>
      </w:r>
    </w:p>
    <w:p w14:paraId="31CAABC2"/>
    <w:p w14:paraId="5B44D83C"/>
    <w:p w14:paraId="26F73CF2">
      <w:pPr>
        <w:spacing w:after="160"/>
        <w:jc w:val="center"/>
      </w:pPr>
      <w:r>
        <w:rPr>
          <w:rFonts w:ascii="Times New Roman" w:hAnsi="Times New Roman" w:eastAsia="Times New Roman" w:cs="Times New Roman"/>
          <w:b/>
          <w:sz w:val="32"/>
        </w:rPr>
        <w:t>ЛАБОРАТОРНАЯ РАБОТА № 1</w:t>
      </w:r>
    </w:p>
    <w:p w14:paraId="7EFA3950">
      <w:pPr>
        <w:spacing w:after="120"/>
        <w:jc w:val="center"/>
      </w:pPr>
      <w:r>
        <w:rPr>
          <w:rFonts w:ascii="Times New Roman" w:hAnsi="Times New Roman" w:eastAsia="Times New Roman" w:cs="Times New Roman"/>
          <w:b/>
          <w:sz w:val="32"/>
        </w:rPr>
        <w:t>«Добыча корпуса документов»</w:t>
      </w:r>
    </w:p>
    <w:p w14:paraId="34804E5B">
      <w:pPr>
        <w:jc w:val="center"/>
      </w:pPr>
      <w:r>
        <w:rPr>
          <w:rFonts w:ascii="Times New Roman" w:hAnsi="Times New Roman" w:eastAsia="Times New Roman" w:cs="Times New Roman"/>
          <w:sz w:val="28"/>
        </w:rPr>
        <w:t>по дисциплине «Информационный поиск»</w:t>
      </w:r>
    </w:p>
    <w:p w14:paraId="7AE6C89F"/>
    <w:p w14:paraId="6F7435D3"/>
    <w:p w14:paraId="63A96A25"/>
    <w:p w14:paraId="483629BF"/>
    <w:tbl>
      <w:tblPr>
        <w:tblStyle w:val="12"/>
        <w:tblW w:w="0" w:type="auto"/>
        <w:jc w:val="righ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4252"/>
      </w:tblGrid>
      <w:tr w14:paraId="4FD28D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226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4AB5E0">
            <w:pPr>
              <w:spacing w:after="0"/>
              <w:jc w:val="left"/>
              <w:rPr>
                <w:rFonts w:hint="default"/>
                <w:i/>
                <w:iCs/>
                <w:lang w:val="en-US"/>
              </w:rPr>
            </w:pPr>
            <w:r>
              <w:rPr>
                <w:i/>
                <w:iCs/>
                <w:lang w:val="ru-RU"/>
              </w:rPr>
              <w:t>Студент</w:t>
            </w:r>
            <w:r>
              <w:rPr>
                <w:rFonts w:hint="default"/>
                <w:i/>
                <w:iCs/>
                <w:lang w:val="en-US"/>
              </w:rPr>
              <w:t>:</w:t>
            </w:r>
          </w:p>
        </w:tc>
        <w:tc>
          <w:tcPr>
            <w:tcW w:w="425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219B9E">
            <w:pPr>
              <w:spacing w:after="0"/>
              <w:jc w:val="left"/>
              <w:rPr>
                <w:rFonts w:hint="default" w:ascii="Times New Roman" w:hAnsi="Times New Roman" w:eastAsia="Times New Roman" w:cs="Times New Roman"/>
                <w:b w:val="0"/>
                <w:sz w:val="26"/>
                <w:lang w:val="ru-RU"/>
              </w:rPr>
            </w:pPr>
            <w:r>
              <w:rPr>
                <w:rFonts w:hint="default" w:cs="Times New Roman"/>
                <w:b w:val="0"/>
                <w:sz w:val="26"/>
                <w:lang w:val="ru-RU"/>
              </w:rPr>
              <w:t>Кунавин К. В.</w:t>
            </w:r>
          </w:p>
        </w:tc>
      </w:tr>
      <w:tr w14:paraId="2EDF17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226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058D62">
            <w:pPr>
              <w:spacing w:after="0"/>
              <w:jc w:val="left"/>
              <w:rPr>
                <w:rFonts w:hint="default" w:ascii="Times New Roman" w:hAnsi="Times New Roman" w:eastAsia="Times New Roman" w:cs="Times New Roman"/>
                <w:b w:val="0"/>
                <w:sz w:val="26"/>
                <w:lang w:val="en-US"/>
              </w:rPr>
            </w:pPr>
            <w:r>
              <w:rPr>
                <w:i/>
                <w:iCs/>
              </w:rPr>
              <w:t>Группа</w:t>
            </w:r>
            <w:r>
              <w:rPr>
                <w:rFonts w:hint="default"/>
                <w:i/>
                <w:iCs/>
                <w:lang w:val="en-US"/>
              </w:rPr>
              <w:t>:</w:t>
            </w:r>
          </w:p>
        </w:tc>
        <w:tc>
          <w:tcPr>
            <w:tcW w:w="425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62CB3E">
            <w:pPr>
              <w:spacing w:after="0"/>
              <w:jc w:val="left"/>
              <w:rPr>
                <w:rFonts w:ascii="Times New Roman" w:hAnsi="Times New Roman" w:eastAsia="Times New Roman" w:cs="Times New Roman"/>
                <w:b w:val="0"/>
                <w:sz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6"/>
              </w:rPr>
              <w:t>М8О-</w:t>
            </w:r>
            <w:r>
              <w:rPr>
                <w:rFonts w:hint="default" w:cs="Times New Roman"/>
                <w:b w:val="0"/>
                <w:sz w:val="26"/>
                <w:lang w:val="ru-RU"/>
              </w:rPr>
              <w:t>4</w:t>
            </w:r>
            <w:r>
              <w:rPr>
                <w:rFonts w:ascii="Times New Roman" w:hAnsi="Times New Roman" w:eastAsia="Times New Roman" w:cs="Times New Roman"/>
                <w:b w:val="0"/>
                <w:sz w:val="26"/>
              </w:rPr>
              <w:t>03Б-23</w:t>
            </w:r>
          </w:p>
        </w:tc>
      </w:tr>
      <w:tr w14:paraId="21C392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226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FE7D9B"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6"/>
              </w:rPr>
              <w:t>Проверил:</w:t>
            </w:r>
          </w:p>
        </w:tc>
        <w:tc>
          <w:tcPr>
            <w:tcW w:w="425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B98AFD">
            <w:pPr>
              <w:spacing w:after="0"/>
              <w:jc w:val="left"/>
              <w:rPr>
                <w:rFonts w:hint="default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6"/>
              </w:rPr>
              <w:t xml:space="preserve">Кухтичев </w:t>
            </w:r>
            <w:r>
              <w:rPr>
                <w:rFonts w:hint="default" w:cs="Times New Roman"/>
                <w:b w:val="0"/>
                <w:sz w:val="26"/>
                <w:lang w:val="ru-RU"/>
              </w:rPr>
              <w:t>А. А.</w:t>
            </w:r>
          </w:p>
        </w:tc>
      </w:tr>
      <w:tr w14:paraId="66AD7B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226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89A20E">
            <w:pPr>
              <w:spacing w:after="0"/>
              <w:jc w:val="left"/>
              <w:rPr>
                <w:rFonts w:hint="default"/>
                <w:lang w:val="en-US"/>
              </w:rPr>
            </w:pPr>
            <w:r>
              <w:rPr>
                <w:lang w:val="ru-RU"/>
              </w:rPr>
              <w:t>Дата</w:t>
            </w:r>
            <w:r>
              <w:rPr>
                <w:rFonts w:hint="default"/>
                <w:lang w:val="en-US"/>
              </w:rPr>
              <w:t>:</w:t>
            </w:r>
          </w:p>
        </w:tc>
        <w:tc>
          <w:tcPr>
            <w:tcW w:w="425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899989">
            <w:pPr>
              <w:spacing w:after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21.09.2026</w:t>
            </w:r>
          </w:p>
        </w:tc>
      </w:tr>
      <w:tr w14:paraId="59E96D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226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183D9C"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6"/>
              </w:rPr>
              <w:t>Оценка:</w:t>
            </w:r>
          </w:p>
        </w:tc>
        <w:tc>
          <w:tcPr>
            <w:tcW w:w="425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447024">
            <w:pPr>
              <w:spacing w:after="0"/>
              <w:jc w:val="left"/>
            </w:pPr>
          </w:p>
        </w:tc>
      </w:tr>
    </w:tbl>
    <w:p w14:paraId="36152E5B"/>
    <w:p w14:paraId="2803ED2E">
      <w:pPr>
        <w:jc w:val="center"/>
      </w:pPr>
      <w:r>
        <w:rPr>
          <w:rFonts w:ascii="Times New Roman" w:hAnsi="Times New Roman" w:eastAsia="Times New Roman" w:cs="Times New Roman"/>
          <w:sz w:val="28"/>
        </w:rPr>
        <w:t>Москва — 2026</w:t>
      </w:r>
    </w:p>
    <w:p w14:paraId="7901CFD2">
      <w:r>
        <w:br w:type="page"/>
      </w:r>
    </w:p>
    <w:p w14:paraId="46FB07B4">
      <w:pPr>
        <w:keepNext/>
        <w:spacing w:before="200" w:after="120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</w:rPr>
        <w:t>1. Задание</w:t>
      </w:r>
    </w:p>
    <w:p w14:paraId="6117FBB2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Цель работы — проанализировать корпус документов, который будет использоваться в последующих лабораторных работах по информационному поиску.</w:t>
      </w:r>
    </w:p>
    <w:p w14:paraId="4765E6A1">
      <w:pPr>
        <w:spacing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В рамках лабораторной работы необходимо:</w:t>
      </w:r>
    </w:p>
    <w:p w14:paraId="5D9A0D7F">
      <w:pPr>
        <w:pStyle w:val="22"/>
        <w:spacing w:after="0" w:line="360" w:lineRule="auto"/>
        <w:ind w:left="425" w:hanging="142"/>
      </w:pPr>
      <w:r>
        <w:rPr>
          <w:rFonts w:ascii="Times New Roman" w:hAnsi="Times New Roman" w:eastAsia="Times New Roman" w:cs="Times New Roman"/>
          <w:sz w:val="28"/>
        </w:rPr>
        <w:t>определить тематику будущего корпуса;</w:t>
      </w:r>
    </w:p>
    <w:p w14:paraId="129AF1B7">
      <w:pPr>
        <w:pStyle w:val="22"/>
        <w:spacing w:after="0" w:line="360" w:lineRule="auto"/>
        <w:ind w:left="425" w:hanging="142"/>
      </w:pPr>
      <w:r>
        <w:rPr>
          <w:rFonts w:ascii="Times New Roman" w:hAnsi="Times New Roman" w:eastAsia="Times New Roman" w:cs="Times New Roman"/>
          <w:sz w:val="28"/>
        </w:rPr>
        <w:t>выбрать не менее двух источников документов;</w:t>
      </w:r>
    </w:p>
    <w:p w14:paraId="669583AB">
      <w:pPr>
        <w:pStyle w:val="22"/>
        <w:spacing w:after="0" w:line="360" w:lineRule="auto"/>
        <w:ind w:left="425" w:hanging="142"/>
      </w:pPr>
      <w:r>
        <w:rPr>
          <w:rFonts w:ascii="Times New Roman" w:hAnsi="Times New Roman" w:eastAsia="Times New Roman" w:cs="Times New Roman"/>
          <w:sz w:val="28"/>
        </w:rPr>
        <w:t>скачать примеры документов и исследовать формат их представления;</w:t>
      </w:r>
    </w:p>
    <w:p w14:paraId="7C1A2DE2">
      <w:pPr>
        <w:pStyle w:val="22"/>
        <w:spacing w:after="0" w:line="360" w:lineRule="auto"/>
        <w:ind w:left="425" w:hanging="142"/>
      </w:pPr>
      <w:r>
        <w:rPr>
          <w:rFonts w:ascii="Times New Roman" w:hAnsi="Times New Roman" w:eastAsia="Times New Roman" w:cs="Times New Roman"/>
          <w:sz w:val="28"/>
        </w:rPr>
        <w:t>изучить разметку, структуру текста и дополнительную метаинформацию;</w:t>
      </w:r>
    </w:p>
    <w:p w14:paraId="34399236">
      <w:pPr>
        <w:pStyle w:val="22"/>
        <w:spacing w:after="0" w:line="360" w:lineRule="auto"/>
        <w:ind w:left="425" w:hanging="142"/>
      </w:pPr>
      <w:r>
        <w:rPr>
          <w:rFonts w:ascii="Times New Roman" w:hAnsi="Times New Roman" w:eastAsia="Times New Roman" w:cs="Times New Roman"/>
          <w:sz w:val="28"/>
        </w:rPr>
        <w:t>реализовать выделение основного текста;</w:t>
      </w:r>
    </w:p>
    <w:p w14:paraId="257357B3">
      <w:pPr>
        <w:pStyle w:val="22"/>
        <w:spacing w:after="0" w:line="360" w:lineRule="auto"/>
        <w:ind w:left="425" w:hanging="142"/>
      </w:pPr>
      <w:r>
        <w:rPr>
          <w:rFonts w:ascii="Times New Roman" w:hAnsi="Times New Roman" w:eastAsia="Times New Roman" w:cs="Times New Roman"/>
          <w:sz w:val="28"/>
        </w:rPr>
        <w:t>привести документы различных источников к единому представлению;</w:t>
      </w:r>
    </w:p>
    <w:p w14:paraId="5B041E08">
      <w:pPr>
        <w:pStyle w:val="22"/>
        <w:spacing w:after="0" w:line="360" w:lineRule="auto"/>
        <w:ind w:left="425" w:hanging="142"/>
      </w:pPr>
      <w:r>
        <w:rPr>
          <w:rFonts w:ascii="Times New Roman" w:hAnsi="Times New Roman" w:eastAsia="Times New Roman" w:cs="Times New Roman"/>
          <w:sz w:val="28"/>
        </w:rPr>
        <w:t>исследовать существующие поисковые системы для выбранных источников;</w:t>
      </w:r>
    </w:p>
    <w:p w14:paraId="3B46844C">
      <w:pPr>
        <w:pStyle w:val="22"/>
        <w:spacing w:after="0" w:line="360" w:lineRule="auto"/>
        <w:ind w:left="425" w:hanging="142"/>
      </w:pPr>
      <w:r>
        <w:rPr>
          <w:rFonts w:ascii="Times New Roman" w:hAnsi="Times New Roman" w:eastAsia="Times New Roman" w:cs="Times New Roman"/>
          <w:sz w:val="28"/>
        </w:rPr>
        <w:t>выполнить несколько поисковых запросов и выявить недостатки получаемой выдачи;</w:t>
      </w:r>
    </w:p>
    <w:p w14:paraId="60B3D5C0">
      <w:pPr>
        <w:pStyle w:val="22"/>
        <w:spacing w:after="0" w:line="360" w:lineRule="auto"/>
        <w:ind w:left="425" w:hanging="142"/>
      </w:pPr>
      <w:r>
        <w:rPr>
          <w:rFonts w:ascii="Times New Roman" w:hAnsi="Times New Roman" w:eastAsia="Times New Roman" w:cs="Times New Roman"/>
          <w:sz w:val="28"/>
        </w:rPr>
        <w:t>получить статистические характеристики примеров документов: размер исходных данных, размер выделенного текста, количество документов и средние значения.</w:t>
      </w:r>
    </w:p>
    <w:p w14:paraId="54C5CA7D">
      <w:pPr>
        <w:keepNext/>
        <w:spacing w:before="200" w:after="120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</w:rPr>
        <w:t>2. Краткое описание метода решения</w:t>
      </w:r>
    </w:p>
    <w:p w14:paraId="388A1BF7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В качестве тематики корпуса были выбраны научные публикации по психологии, образованию и исследованиям поведения человека.</w:t>
      </w:r>
    </w:p>
    <w:p w14:paraId="0B71C48B">
      <w:pPr>
        <w:spacing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В качестве источников документов используются:</w:t>
      </w:r>
    </w:p>
    <w:p w14:paraId="7FBEF06E">
      <w:pPr>
        <w:pStyle w:val="27"/>
        <w:spacing w:after="0" w:line="360" w:lineRule="auto"/>
        <w:ind w:left="425" w:hanging="142"/>
      </w:pPr>
      <w:r>
        <w:rPr>
          <w:rFonts w:ascii="Times New Roman" w:hAnsi="Times New Roman" w:eastAsia="Times New Roman" w:cs="Times New Roman"/>
          <w:sz w:val="28"/>
        </w:rPr>
        <w:t>PubMed Central (PMC) — полнотекстовый архив научных публикаций.</w:t>
      </w:r>
    </w:p>
    <w:p w14:paraId="5CC4448F">
      <w:pPr>
        <w:pStyle w:val="27"/>
        <w:spacing w:after="0" w:line="360" w:lineRule="auto"/>
        <w:ind w:left="425" w:hanging="142"/>
      </w:pPr>
      <w:r>
        <w:rPr>
          <w:rFonts w:ascii="Times New Roman" w:hAnsi="Times New Roman" w:eastAsia="Times New Roman" w:cs="Times New Roman"/>
          <w:sz w:val="28"/>
        </w:rPr>
        <w:t>ERIC — информационная система, специализирующаяся на публикациях в области образования и образовательной психологии.</w:t>
      </w:r>
    </w:p>
    <w:p w14:paraId="0CEC77C6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Для каждого источника был выбран пример научной публикации. Документы были сохранены локально и проанализированы с точки зрения структуры исходных данных, наличия метаинформации и возможности выделения основного текста.</w:t>
      </w:r>
    </w:p>
    <w:p w14:paraId="210A101E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Для PMC исходные данные были получены через OAI-PMH в формате XML. Внутри OAI-PMH статья представлена в формате JATS. Документ содержит структурированные метаданные, аннотацию и основной текст статьи.</w:t>
      </w:r>
    </w:p>
    <w:p w14:paraId="3A8C538A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Для ERIC полный текст публикации представлен PDF-файлом, а метаданные публикации хранятся отдельно. Поэтому обработка ERIC состоит из двух частей: чтения метаданных и извлечения текста из PDF.</w:t>
      </w:r>
    </w:p>
    <w:p w14:paraId="67D24F58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Для автоматизации обработки были реализованы два Python-скрипта. Скрипт обработки PMC использует стандартный модуль xml.etree.ElementTree, а для извлечения текста из PDF ERIC используется библиотека pypdf.</w:t>
      </w:r>
    </w:p>
    <w:p w14:paraId="3B4CF290">
      <w:pPr>
        <w:spacing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После обработки документы обоих источников приводятся к единому JSON-представлению со следующими полями: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5"/>
      </w:tblGrid>
      <w:tr w14:paraId="681A73B3">
        <w:trPr>
          <w:jc w:val="center"/>
        </w:trPr>
        <w:tc>
          <w:tcPr>
            <w:tcW w:w="9355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C78277">
            <w:pPr>
              <w:spacing w:after="0"/>
            </w:pPr>
            <w:r>
              <w:rPr>
                <w:rFonts w:ascii="Courier New" w:hAnsi="Courier New" w:eastAsia="Courier New" w:cs="Courier New"/>
                <w:sz w:val="20"/>
              </w:rPr>
              <w:t>id</w:t>
            </w:r>
            <w:r>
              <w:br w:type="textWrapping"/>
            </w:r>
            <w:r>
              <w:rPr>
                <w:rFonts w:ascii="Courier New" w:hAnsi="Courier New" w:eastAsia="Courier New" w:cs="Courier New"/>
                <w:sz w:val="20"/>
              </w:rPr>
              <w:t>source</w:t>
            </w:r>
            <w:r>
              <w:br w:type="textWrapping"/>
            </w:r>
            <w:r>
              <w:rPr>
                <w:rFonts w:ascii="Courier New" w:hAnsi="Courier New" w:eastAsia="Courier New" w:cs="Courier New"/>
                <w:sz w:val="20"/>
              </w:rPr>
              <w:t>title</w:t>
            </w:r>
            <w:r>
              <w:br w:type="textWrapping"/>
            </w:r>
            <w:r>
              <w:rPr>
                <w:rFonts w:ascii="Courier New" w:hAnsi="Courier New" w:eastAsia="Courier New" w:cs="Courier New"/>
                <w:sz w:val="20"/>
              </w:rPr>
              <w:t>authors</w:t>
            </w:r>
            <w:r>
              <w:br w:type="textWrapping"/>
            </w:r>
            <w:r>
              <w:rPr>
                <w:rFonts w:ascii="Courier New" w:hAnsi="Courier New" w:eastAsia="Courier New" w:cs="Courier New"/>
                <w:sz w:val="20"/>
              </w:rPr>
              <w:t>publication_date</w:t>
            </w:r>
            <w:r>
              <w:br w:type="textWrapping"/>
            </w:r>
            <w:r>
              <w:rPr>
                <w:rFonts w:ascii="Courier New" w:hAnsi="Courier New" w:eastAsia="Courier New" w:cs="Courier New"/>
                <w:sz w:val="20"/>
              </w:rPr>
              <w:t>keywords</w:t>
            </w:r>
            <w:r>
              <w:br w:type="textWrapping"/>
            </w:r>
            <w:r>
              <w:rPr>
                <w:rFonts w:ascii="Courier New" w:hAnsi="Courier New" w:eastAsia="Courier New" w:cs="Courier New"/>
                <w:sz w:val="20"/>
              </w:rPr>
              <w:t>abstract</w:t>
            </w:r>
            <w:r>
              <w:br w:type="textWrapping"/>
            </w:r>
            <w:r>
              <w:rPr>
                <w:rFonts w:ascii="Courier New" w:hAnsi="Courier New" w:eastAsia="Courier New" w:cs="Courier New"/>
                <w:sz w:val="20"/>
              </w:rPr>
              <w:t>text</w:t>
            </w:r>
          </w:p>
        </w:tc>
      </w:tr>
    </w:tbl>
    <w:p w14:paraId="46F68DA5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Такое представление позволяет в дальнейшем обрабатывать документы различных источников единым способом.</w:t>
      </w:r>
    </w:p>
    <w:p w14:paraId="7854AC00">
      <w:pPr>
        <w:keepNext/>
        <w:spacing w:before="120" w:after="120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</w:rPr>
        <w:t>2.1. Источники данных</w:t>
      </w:r>
    </w:p>
    <w:p w14:paraId="6CC4B821">
      <w:pPr>
        <w:spacing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PubMed Central: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5"/>
      </w:tblGrid>
      <w:tr w14:paraId="19500C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55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E14124">
            <w:pPr>
              <w:spacing w:after="0"/>
            </w:pPr>
            <w:r>
              <w:rPr>
                <w:rFonts w:ascii="Courier New" w:hAnsi="Courier New" w:eastAsia="Courier New" w:cs="Courier New"/>
                <w:sz w:val="20"/>
              </w:rPr>
              <w:t>https://pmc.ncbi.nlm.nih.gov/articles/PMC8935530/</w:t>
            </w:r>
            <w:r>
              <w:br w:type="textWrapping"/>
            </w:r>
            <w:r>
              <w:rPr>
                <w:rFonts w:ascii="Courier New" w:hAnsi="Courier New" w:eastAsia="Courier New" w:cs="Courier New"/>
                <w:sz w:val="20"/>
              </w:rPr>
              <w:t>https://pmc.ncbi.nlm.nih.gov/api/oai/v1/mh/</w:t>
            </w:r>
          </w:p>
        </w:tc>
      </w:tr>
    </w:tbl>
    <w:p w14:paraId="572F038C">
      <w:pPr>
        <w:spacing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ERIC: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5"/>
      </w:tblGrid>
      <w:tr w14:paraId="38EB4B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55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53D7DE">
            <w:pPr>
              <w:spacing w:after="0"/>
            </w:pPr>
            <w:r>
              <w:rPr>
                <w:rFonts w:ascii="Courier New" w:hAnsi="Courier New" w:eastAsia="Courier New" w:cs="Courier New"/>
                <w:sz w:val="20"/>
              </w:rPr>
              <w:t>https://eric.ed.gov/?id=EJ854309</w:t>
            </w:r>
            <w:r>
              <w:br w:type="textWrapping"/>
            </w:r>
            <w:r>
              <w:rPr>
                <w:rFonts w:ascii="Courier New" w:hAnsi="Courier New" w:eastAsia="Courier New" w:cs="Courier New"/>
                <w:sz w:val="20"/>
              </w:rPr>
              <w:t>https://files.eric.ed.gov/fulltext/EJ854309.pdf</w:t>
            </w:r>
          </w:p>
        </w:tc>
      </w:tr>
    </w:tbl>
    <w:p w14:paraId="5B4EB831">
      <w:pPr>
        <w:keepNext/>
        <w:spacing w:before="200" w:after="120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</w:rPr>
        <w:t>3. Журнал выполнения задания</w:t>
      </w:r>
    </w:p>
    <w:p w14:paraId="1B196621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На первом этапе была выбрана тематика будущего корпуса — научные публикации, связанные с психологией, образованием и поведением человека. После анализа возможных источников для работы были выбраны PubMed Central и ERIC.</w:t>
      </w:r>
    </w:p>
    <w:p w14:paraId="08C5ACEC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Для PMC был найден механизм получения исходной разметки публикации через OAI-PMH. В качестве примера использована публикация с идентификатором PMC8935530. Полученный документ имеет XML-разметку JATS и содержит структурированные метаданные и полный текст статьи. В XML присутствуют идентификаторы PMCID, PMID и DOI, информация об авторах, дате публикации, аннотации и ключевых словах.</w:t>
      </w:r>
    </w:p>
    <w:p w14:paraId="019AB8A6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Был разработан скрипт extract_pmc.py, который извлекает PMCID, название статьи, список авторов, дату публикации, ключевые слова, аннотацию и содержимое &lt;body&gt;. Полученная информация сохраняется в JSON.</w:t>
      </w:r>
    </w:p>
    <w:p w14:paraId="69DD59D1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Для ERIC была выбрана публикация EJ854309. Полный текст представлен PDF-документом объёмом 13 страниц. Для обработки был разработан скрипт extract_eric.py. Он загружает метаданные из JSON, извлекает текст всех страниц PDF с помощью pypdf, удаляет лишние пробелы и создаёт документ того же формата, который применяется для PMC.</w:t>
      </w:r>
    </w:p>
    <w:p w14:paraId="54E191CA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Для автоматического получения количественных характеристик был реализован скрипт statistics.py. Он определяет размер исходных документов, объём выделенного UTF-8 текста, количество символов и слов, а также вычисляет суммарные и средние значения.</w:t>
      </w:r>
    </w:p>
    <w:p w14:paraId="34747772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При попытке получить HTML-страницу ERIC с помощью curl соединение было сброшено. Поэтому полный текст публикации был получен напрямую в формате PDF, а метаданные сохранены отдельно.</w:t>
      </w:r>
    </w:p>
    <w:p w14:paraId="04B91AB9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Во время проверки воспроизводимости проекта было обнаружено, что библиотека pypdf была установлена только в глобальной среде Python и отсутствовала в созданном виртуальном окружении. Для решения проблемы был создан файл requirements.txt, содержащий необходимую версию зависимости.</w:t>
      </w:r>
    </w:p>
    <w:p w14:paraId="5334BC30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После этого был создан единый скрипт run_lab01.py, который последовательно запускает обработку PMC, обработку ERIC, расчёт статистики и автоматические тесты. Итоговый запуск из виртуального окружения завершился успешно.</w:t>
      </w:r>
    </w:p>
    <w:p w14:paraId="622E6B1E">
      <w:pPr>
        <w:keepNext/>
        <w:spacing w:before="200" w:after="120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</w:rPr>
        <w:t>4. План тестирования</w:t>
      </w:r>
    </w:p>
    <w:p w14:paraId="1EA05F5F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Цель тестирования — проверить корректность выделения данных из исходных документов PubMed Central и ERIC, а также приведение документов разных источников к единому формату.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148D1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D9EAF7"/>
            <w:vAlign w:val="center"/>
          </w:tcPr>
          <w:p w14:paraId="185E1A46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№</w:t>
            </w:r>
          </w:p>
        </w:tc>
        <w:tc>
          <w:tcPr>
            <w:tcW w:w="3118" w:type="dxa"/>
            <w:shd w:val="clear" w:color="auto" w:fill="D9EAF7"/>
            <w:vAlign w:val="center"/>
          </w:tcPr>
          <w:p w14:paraId="297AEAAD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Проверка</w:t>
            </w:r>
          </w:p>
        </w:tc>
        <w:tc>
          <w:tcPr>
            <w:tcW w:w="3118" w:type="dxa"/>
            <w:shd w:val="clear" w:color="auto" w:fill="D9EAF7"/>
            <w:vAlign w:val="center"/>
          </w:tcPr>
          <w:p w14:paraId="30F9B4AD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Ожидаемый результат</w:t>
            </w:r>
          </w:p>
        </w:tc>
      </w:tr>
      <w:tr w14:paraId="2E2A9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0080D0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003392"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Проверка идентификатора PMC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181F5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PMC8935530</w:t>
            </w:r>
          </w:p>
        </w:tc>
      </w:tr>
      <w:tr w14:paraId="3BB93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691011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9BA1F"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Проверка идентификатора ERIC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2CBAD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EJ854309</w:t>
            </w:r>
          </w:p>
        </w:tc>
      </w:tr>
      <w:tr w14:paraId="695A1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253BA3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3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063CE"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Проверка названия PMC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342FBF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Поле title не пустое</w:t>
            </w:r>
          </w:p>
        </w:tc>
      </w:tr>
      <w:tr w14:paraId="48A09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904FED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4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8D7C69"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Проверка названия ERIC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E63270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Поле title не пустое</w:t>
            </w:r>
          </w:p>
        </w:tc>
      </w:tr>
      <w:tr w14:paraId="7BE6D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79EB3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5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C8C2CF"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Проверка авторов PMC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029568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Не менее одного автора</w:t>
            </w:r>
          </w:p>
        </w:tc>
      </w:tr>
      <w:tr w14:paraId="07633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6F67BA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6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DC87EF"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Проверка авторов ERIC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2D5818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Не менее одного автора</w:t>
            </w:r>
          </w:p>
        </w:tc>
      </w:tr>
      <w:tr w14:paraId="0D147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9CD447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7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CAACBB"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Проверка основного текста PMC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BFCB8D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Более 1000 символов</w:t>
            </w:r>
          </w:p>
        </w:tc>
      </w:tr>
      <w:tr w14:paraId="1CB18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D2EDFD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8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4AA6B0"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Проверка основного текста ERIC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3FC71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Более 1000 символов</w:t>
            </w:r>
          </w:p>
        </w:tc>
      </w:tr>
      <w:tr w14:paraId="63A36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92C82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9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1D36F4"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Проверка единого формата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27D750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Наличие всех обязательных полей</w:t>
            </w:r>
          </w:p>
        </w:tc>
      </w:tr>
    </w:tbl>
    <w:p w14:paraId="54DF7BCA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Автоматические тесты реализованы на основе стандартного модуля unittest. Результат прогона тестового плана сохраняется отдельно в файле results/tests.txt.</w:t>
      </w:r>
    </w:p>
    <w:p w14:paraId="5FDCD149">
      <w:pPr>
        <w:keepNext/>
        <w:spacing w:before="200" w:after="120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</w:rPr>
        <w:t>5. Результаты</w:t>
      </w:r>
    </w:p>
    <w:p w14:paraId="5327BF3D">
      <w:pPr>
        <w:keepNext/>
        <w:spacing w:before="120" w:after="120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</w:rPr>
        <w:t>5.1. Анализ PubMed Central</w:t>
      </w:r>
    </w:p>
    <w:p w14:paraId="033A69A4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В качестве примера документа PubMed Central использована статья «Pathways to Student Motivation: A Meta-Analysis of Antecedents of Autonomous and Controlled Motivations». Идентификатор документа — PMC8935530.</w:t>
      </w:r>
    </w:p>
    <w:p w14:paraId="0A6C5CC8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Документ получен через OAI-PMH в формате XML. Непосредственно статья представлена в формате JATS. Корневым элементом статьи является &lt;article&gt;. Для рассматриваемого документа указаны язык en и тип research-article.</w:t>
      </w:r>
    </w:p>
    <w:p w14:paraId="23E0CFAC">
      <w:pPr>
        <w:spacing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Структура статьи включает:</w:t>
      </w:r>
    </w:p>
    <w:p w14:paraId="4B879328">
      <w:pPr>
        <w:pStyle w:val="22"/>
        <w:spacing w:after="0" w:line="360" w:lineRule="auto"/>
        <w:ind w:left="425" w:hanging="142"/>
      </w:pPr>
      <w:r>
        <w:rPr>
          <w:rFonts w:ascii="Times New Roman" w:hAnsi="Times New Roman" w:eastAsia="Times New Roman" w:cs="Times New Roman"/>
          <w:sz w:val="28"/>
        </w:rPr>
        <w:t>&lt;front&gt; — метаданные;</w:t>
      </w:r>
    </w:p>
    <w:p w14:paraId="5565E2B3">
      <w:pPr>
        <w:pStyle w:val="22"/>
        <w:spacing w:after="0" w:line="360" w:lineRule="auto"/>
        <w:ind w:left="425" w:hanging="142"/>
      </w:pPr>
      <w:r>
        <w:rPr>
          <w:rFonts w:ascii="Times New Roman" w:hAnsi="Times New Roman" w:eastAsia="Times New Roman" w:cs="Times New Roman"/>
          <w:sz w:val="28"/>
        </w:rPr>
        <w:t>&lt;body&gt; — основной текст;</w:t>
      </w:r>
    </w:p>
    <w:p w14:paraId="7FAB08D8">
      <w:pPr>
        <w:pStyle w:val="22"/>
        <w:spacing w:after="0" w:line="360" w:lineRule="auto"/>
        <w:ind w:left="425" w:hanging="142"/>
      </w:pPr>
      <w:r>
        <w:rPr>
          <w:rFonts w:ascii="Times New Roman" w:hAnsi="Times New Roman" w:eastAsia="Times New Roman" w:cs="Times New Roman"/>
          <w:sz w:val="28"/>
        </w:rPr>
        <w:t>&lt;back&gt; — дополнительная информация, примечания и список литературы.</w:t>
      </w:r>
    </w:p>
    <w:p w14:paraId="0F6D51AA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В &lt;front&gt; находятся название публикации, авторы, идентификаторы, дата публикации, аннотация и ключевые слова. В &lt;body&gt; текст разделён на секции, заголовки и абзацы. В &lt;back&gt; располагаются дополнительные сведения и список литературы.</w:t>
      </w:r>
    </w:p>
    <w:p w14:paraId="474EB855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Для поискового корпуса из документа сохраняются идентификатор, название, авторы, дата публикации, аннотация, ключевые слова, заголовки разделов и основной текст. Техническая OAI-PMH-разметка, XML-атрибуты, информация о лицензии и другие служебные элементы не являются частью индексируемого текста.</w:t>
      </w:r>
    </w:p>
    <w:p w14:paraId="47ACF906">
      <w:pPr>
        <w:jc w:val="center"/>
      </w:pPr>
      <w:r>
        <w:drawing>
          <wp:inline distT="0" distB="0" distL="114300" distR="114300">
            <wp:extent cx="5579745" cy="3449955"/>
            <wp:effectExtent l="0" t="0" r="1333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4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0D14A">
      <w:pPr>
        <w:spacing w:before="60" w:after="120"/>
        <w:ind w:firstLine="0"/>
        <w:jc w:val="center"/>
      </w:pPr>
      <w:r>
        <w:rPr>
          <w:rFonts w:ascii="Times New Roman" w:hAnsi="Times New Roman" w:eastAsia="Times New Roman" w:cs="Times New Roman"/>
          <w:i/>
          <w:sz w:val="22"/>
        </w:rPr>
        <w:t>Рисунок 1 — Пример публикации в PubMed Central</w:t>
      </w:r>
    </w:p>
    <w:p w14:paraId="49361243">
      <w:pPr>
        <w:keepNext/>
        <w:spacing w:before="120" w:after="120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</w:rPr>
        <w:t>5.2. Анализ ERIC</w:t>
      </w:r>
    </w:p>
    <w:p w14:paraId="6FA8B187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В качестве примера документа ERIC использована публикация «The Causal Ordering of Self-Concept and Academic Motivation and Its Effect on Academic Achievement». Идентификатор документа — EJ854309.</w:t>
      </w:r>
    </w:p>
    <w:p w14:paraId="1F62653A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В отличие от PMC, полный текст и метаданные ERIC представлены раздельно. Метаданные содержат идентификатор, название, авторов, дату публикации, язык, дескрипторы и количество страниц. Основной текст представлен PDF-файлом.</w:t>
      </w:r>
    </w:p>
    <w:p w14:paraId="7CDBB052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При извлечении текста из PDF необходимо учитывать появление дополнительного шума: номеров страниц, колонтитулов, подписей к изображениям, таблиц и списка литературы. В текущей реализации текст извлекается постранично, после чего удаляются лишние пробелы.</w:t>
      </w:r>
    </w:p>
    <w:p w14:paraId="442614F1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После обработки документ ERIC приводится к тому же JSON-представлению, что и документ PMC, что позволяет использовать оба источника в едином будущем индексе.</w:t>
      </w:r>
    </w:p>
    <w:p w14:paraId="2E9F0542">
      <w:pPr>
        <w:keepNext/>
        <w:spacing w:before="120" w:after="120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</w:rPr>
        <w:t>5.3. Анализ существующих поисковых систем</w:t>
      </w:r>
    </w:p>
    <w:p w14:paraId="168A6F78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Для обоих выбранных источников существуют готовые поисковые системы, поэтому выбранные источники пригодны для дальнейшего формирования корпуса. Для PMC использовался встроенный полнотекстовый поиск PubMed Central, для ERIC — поисковая система ERIC.</w:t>
      </w:r>
    </w:p>
    <w:p w14:paraId="7852C30E">
      <w:pPr>
        <w:spacing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Для анализа использовались три запроса различной степени конкретности:</w:t>
      </w:r>
    </w:p>
    <w:p w14:paraId="4DF8489E">
      <w:pPr>
        <w:pStyle w:val="22"/>
        <w:spacing w:after="0" w:line="360" w:lineRule="auto"/>
        <w:ind w:left="425" w:hanging="142"/>
      </w:pPr>
      <w:r>
        <w:rPr>
          <w:rFonts w:ascii="Times New Roman" w:hAnsi="Times New Roman" w:eastAsia="Times New Roman" w:cs="Times New Roman"/>
          <w:sz w:val="28"/>
        </w:rPr>
        <w:t>student motivation</w:t>
      </w:r>
    </w:p>
    <w:p w14:paraId="1404BEC7">
      <w:pPr>
        <w:pStyle w:val="22"/>
        <w:spacing w:after="0" w:line="360" w:lineRule="auto"/>
        <w:ind w:left="425" w:hanging="142"/>
      </w:pPr>
      <w:r>
        <w:rPr>
          <w:rFonts w:ascii="Times New Roman" w:hAnsi="Times New Roman" w:eastAsia="Times New Roman" w:cs="Times New Roman"/>
          <w:sz w:val="28"/>
        </w:rPr>
        <w:t>student motivation self determination</w:t>
      </w:r>
    </w:p>
    <w:p w14:paraId="688CD90B">
      <w:pPr>
        <w:pStyle w:val="22"/>
        <w:spacing w:after="0" w:line="360" w:lineRule="auto"/>
        <w:ind w:left="425" w:hanging="142"/>
      </w:pPr>
      <w:r>
        <w:rPr>
          <w:rFonts w:ascii="Times New Roman" w:hAnsi="Times New Roman" w:eastAsia="Times New Roman" w:cs="Times New Roman"/>
          <w:sz w:val="28"/>
        </w:rPr>
        <w:t>teacher autonomy support student motivation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7DAC3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D9EAF7"/>
            <w:vAlign w:val="center"/>
          </w:tcPr>
          <w:p w14:paraId="7A0C35D3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Запрос</w:t>
            </w:r>
          </w:p>
        </w:tc>
        <w:tc>
          <w:tcPr>
            <w:tcW w:w="3118" w:type="dxa"/>
            <w:shd w:val="clear" w:color="auto" w:fill="D9EAF7"/>
            <w:vAlign w:val="center"/>
          </w:tcPr>
          <w:p w14:paraId="20BAFBE9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PMC</w:t>
            </w:r>
          </w:p>
        </w:tc>
        <w:tc>
          <w:tcPr>
            <w:tcW w:w="3118" w:type="dxa"/>
            <w:shd w:val="clear" w:color="auto" w:fill="D9EAF7"/>
            <w:vAlign w:val="center"/>
          </w:tcPr>
          <w:p w14:paraId="3305F81E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ERIC</w:t>
            </w:r>
          </w:p>
        </w:tc>
      </w:tr>
      <w:tr w14:paraId="0B43A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4EA57975"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student motivation</w:t>
            </w:r>
          </w:p>
        </w:tc>
        <w:tc>
          <w:tcPr>
            <w:tcW w:w="3118" w:type="dxa"/>
            <w:vAlign w:val="center"/>
          </w:tcPr>
          <w:p w14:paraId="3D6C4BD4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401 253</w:t>
            </w:r>
          </w:p>
        </w:tc>
        <w:tc>
          <w:tcPr>
            <w:tcW w:w="3118" w:type="dxa"/>
            <w:vAlign w:val="center"/>
          </w:tcPr>
          <w:p w14:paraId="7E9E006C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60 058</w:t>
            </w:r>
          </w:p>
        </w:tc>
      </w:tr>
      <w:tr w14:paraId="1E217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360DE4D5"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student motivation self determination</w:t>
            </w:r>
          </w:p>
        </w:tc>
        <w:tc>
          <w:tcPr>
            <w:tcW w:w="3118" w:type="dxa"/>
            <w:vAlign w:val="center"/>
          </w:tcPr>
          <w:p w14:paraId="7A72E6C0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82 022</w:t>
            </w:r>
          </w:p>
        </w:tc>
        <w:tc>
          <w:tcPr>
            <w:tcW w:w="3118" w:type="dxa"/>
            <w:vAlign w:val="center"/>
          </w:tcPr>
          <w:p w14:paraId="4FBADA4F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18 653</w:t>
            </w:r>
          </w:p>
        </w:tc>
      </w:tr>
      <w:tr w14:paraId="29564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17259897"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teacher autonomy support student motivation</w:t>
            </w:r>
          </w:p>
        </w:tc>
        <w:tc>
          <w:tcPr>
            <w:tcW w:w="3118" w:type="dxa"/>
            <w:vAlign w:val="center"/>
          </w:tcPr>
          <w:p w14:paraId="41450A72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23 720</w:t>
            </w:r>
          </w:p>
        </w:tc>
        <w:tc>
          <w:tcPr>
            <w:tcW w:w="3118" w:type="dxa"/>
            <w:vAlign w:val="center"/>
          </w:tcPr>
          <w:p w14:paraId="4F4A8571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81 606</w:t>
            </w:r>
          </w:p>
        </w:tc>
      </w:tr>
    </w:tbl>
    <w:p w14:paraId="3A97EC63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В PMC широкий запрос student motivation возвращает большое число документов и заметный тематический шум. Например, среди первых результатов присутствует статья о мотивации добровольцев во время эпидемии Эболы, которая не относится к академической мотивации студентов. При добавлении уточняющих терминов объём выдачи уменьшается, а верхние результаты в целом становятся более релевантными.</w:t>
      </w:r>
    </w:p>
    <w:p w14:paraId="50012679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ERIC как специализированная образовательная база уже на широком запросе демонстрирует более тематически однородную верхнюю часть выдачи. Однако количество документов не всегда монотонно уменьшается при добавлении терминов: третий запрос дал больше результатов, чем два предыдущих. Следовательно, поведение поиска ERIC нельзя интерпретировать как простое логическое пересечение всех введённых слов.</w:t>
      </w:r>
    </w:p>
    <w:p w14:paraId="640116CC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Метрики качества собственной поисковой системы (P, DCG, NDCG, ERR) в данной работе не рассчитывались, поскольку лабораторная работа № 1 посвящена анализу корпуса и существующих поисковых систем, а собственный поисковый механизм ещё не реализован. Оценка выдачи на этом этапе носит качественный характер.</w:t>
      </w:r>
    </w:p>
    <w:p w14:paraId="22004834">
      <w:pPr>
        <w:jc w:val="center"/>
      </w:pPr>
      <w:r>
        <w:drawing>
          <wp:inline distT="0" distB="0" distL="114300" distR="114300">
            <wp:extent cx="5579745" cy="3364865"/>
            <wp:effectExtent l="0" t="0" r="1333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6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E886C">
      <w:pPr>
        <w:spacing w:before="60" w:after="120"/>
        <w:ind w:firstLine="0"/>
        <w:jc w:val="center"/>
      </w:pPr>
      <w:r>
        <w:rPr>
          <w:rFonts w:ascii="Times New Roman" w:hAnsi="Times New Roman" w:eastAsia="Times New Roman" w:cs="Times New Roman"/>
          <w:i/>
          <w:sz w:val="22"/>
        </w:rPr>
        <w:t>Рисунок 2 — Выдача PMC по запросу «student motivation»</w:t>
      </w:r>
    </w:p>
    <w:p w14:paraId="3CCBAFE6">
      <w:pPr>
        <w:jc w:val="center"/>
      </w:pPr>
      <w:r>
        <w:drawing>
          <wp:inline distT="0" distB="0" distL="114300" distR="114300">
            <wp:extent cx="5579745" cy="3281045"/>
            <wp:effectExtent l="0" t="0" r="13335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81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86441">
      <w:pPr>
        <w:spacing w:before="60" w:after="120"/>
        <w:ind w:firstLine="0"/>
        <w:jc w:val="center"/>
      </w:pPr>
      <w:r>
        <w:rPr>
          <w:rFonts w:ascii="Times New Roman" w:hAnsi="Times New Roman" w:eastAsia="Times New Roman" w:cs="Times New Roman"/>
          <w:i/>
          <w:sz w:val="22"/>
        </w:rPr>
        <w:t>Рисунок 3 — Выдача PMC по запросу «teacher autonomy support student motivation»</w:t>
      </w:r>
    </w:p>
    <w:p w14:paraId="738BE029">
      <w:pPr>
        <w:jc w:val="center"/>
      </w:pPr>
      <w:r>
        <w:drawing>
          <wp:inline distT="0" distB="0" distL="114300" distR="114300">
            <wp:extent cx="5579745" cy="3568700"/>
            <wp:effectExtent l="0" t="0" r="13335" b="127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69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46FF8">
      <w:pPr>
        <w:spacing w:before="60" w:after="120"/>
        <w:ind w:firstLine="0"/>
        <w:jc w:val="center"/>
      </w:pPr>
      <w:r>
        <w:rPr>
          <w:rFonts w:ascii="Times New Roman" w:hAnsi="Times New Roman" w:eastAsia="Times New Roman" w:cs="Times New Roman"/>
          <w:i/>
          <w:sz w:val="22"/>
        </w:rPr>
        <w:t>Рисунок 4 — Выдача ERIC по запросу «student motivation»</w:t>
      </w:r>
    </w:p>
    <w:p w14:paraId="2BFC433A">
      <w:pPr>
        <w:jc w:val="center"/>
      </w:pPr>
      <w:r>
        <w:drawing>
          <wp:inline distT="0" distB="0" distL="114300" distR="114300">
            <wp:extent cx="5579745" cy="3487420"/>
            <wp:effectExtent l="0" t="0" r="13335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D8302">
      <w:pPr>
        <w:spacing w:before="60" w:after="120"/>
        <w:ind w:firstLine="0"/>
        <w:jc w:val="center"/>
      </w:pPr>
      <w:r>
        <w:rPr>
          <w:rFonts w:ascii="Times New Roman" w:hAnsi="Times New Roman" w:eastAsia="Times New Roman" w:cs="Times New Roman"/>
          <w:i/>
          <w:sz w:val="22"/>
        </w:rPr>
        <w:t>Рисунок 5 — Выдача ERIC по запросу «teacher autonomy support student motivation»</w:t>
      </w:r>
    </w:p>
    <w:p w14:paraId="01E29274">
      <w:pPr>
        <w:keepNext/>
        <w:spacing w:before="120" w:after="120"/>
        <w:ind w:firstLine="0"/>
        <w:jc w:val="left"/>
        <w:rPr>
          <w:rFonts w:ascii="Times New Roman" w:hAnsi="Times New Roman" w:eastAsia="Times New Roman" w:cs="Times New Roman"/>
          <w:b/>
          <w:sz w:val="28"/>
        </w:rPr>
      </w:pPr>
    </w:p>
    <w:p w14:paraId="0A192206">
      <w:pPr>
        <w:keepNext/>
        <w:spacing w:before="120" w:after="120"/>
        <w:ind w:firstLine="0"/>
        <w:jc w:val="left"/>
        <w:rPr>
          <w:rFonts w:ascii="Times New Roman" w:hAnsi="Times New Roman" w:eastAsia="Times New Roman" w:cs="Times New Roman"/>
          <w:b/>
          <w:sz w:val="28"/>
        </w:rPr>
      </w:pPr>
    </w:p>
    <w:p w14:paraId="33CF0638">
      <w:pPr>
        <w:keepNext/>
        <w:spacing w:before="120" w:after="120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</w:rPr>
        <w:t>5.4. Статистическая информация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65E6F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D9EAF7"/>
            <w:vAlign w:val="center"/>
          </w:tcPr>
          <w:p w14:paraId="54122CB2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Показатель</w:t>
            </w:r>
          </w:p>
        </w:tc>
        <w:tc>
          <w:tcPr>
            <w:tcW w:w="3118" w:type="dxa"/>
            <w:shd w:val="clear" w:color="auto" w:fill="D9EAF7"/>
            <w:vAlign w:val="center"/>
          </w:tcPr>
          <w:p w14:paraId="70D582E7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PMC8935530</w:t>
            </w:r>
          </w:p>
        </w:tc>
        <w:tc>
          <w:tcPr>
            <w:tcW w:w="3118" w:type="dxa"/>
            <w:shd w:val="clear" w:color="auto" w:fill="D9EAF7"/>
            <w:vAlign w:val="center"/>
          </w:tcPr>
          <w:p w14:paraId="0BEDB41B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EJ854309</w:t>
            </w:r>
          </w:p>
        </w:tc>
      </w:tr>
      <w:tr w14:paraId="27950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7BD9998A"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Размер исходного документа</w:t>
            </w:r>
          </w:p>
        </w:tc>
        <w:tc>
          <w:tcPr>
            <w:tcW w:w="3118" w:type="dxa"/>
            <w:vAlign w:val="center"/>
          </w:tcPr>
          <w:p w14:paraId="73D9A086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161.11 KB</w:t>
            </w:r>
          </w:p>
        </w:tc>
        <w:tc>
          <w:tcPr>
            <w:tcW w:w="3118" w:type="dxa"/>
            <w:vAlign w:val="center"/>
          </w:tcPr>
          <w:p w14:paraId="62C46DFB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209.99 KB</w:t>
            </w:r>
          </w:p>
        </w:tc>
      </w:tr>
      <w:tr w14:paraId="1222A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77FACC21"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Размер выделенного текста</w:t>
            </w:r>
          </w:p>
        </w:tc>
        <w:tc>
          <w:tcPr>
            <w:tcW w:w="3118" w:type="dxa"/>
            <w:vAlign w:val="center"/>
          </w:tcPr>
          <w:p w14:paraId="02A89413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54.41 KB</w:t>
            </w:r>
          </w:p>
        </w:tc>
        <w:tc>
          <w:tcPr>
            <w:tcW w:w="3118" w:type="dxa"/>
            <w:vAlign w:val="center"/>
          </w:tcPr>
          <w:p w14:paraId="545F2AD7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46.95 KB</w:t>
            </w:r>
          </w:p>
        </w:tc>
      </w:tr>
      <w:tr w14:paraId="05F5C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4B8A0734"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Количество символов</w:t>
            </w:r>
          </w:p>
        </w:tc>
        <w:tc>
          <w:tcPr>
            <w:tcW w:w="3118" w:type="dxa"/>
            <w:vAlign w:val="center"/>
          </w:tcPr>
          <w:p w14:paraId="21C455B2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55 544</w:t>
            </w:r>
          </w:p>
        </w:tc>
        <w:tc>
          <w:tcPr>
            <w:tcW w:w="3118" w:type="dxa"/>
            <w:vAlign w:val="center"/>
          </w:tcPr>
          <w:p w14:paraId="2B8F5699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47 985</w:t>
            </w:r>
          </w:p>
        </w:tc>
      </w:tr>
      <w:tr w14:paraId="29059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20F77B71"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Количество слов</w:t>
            </w:r>
          </w:p>
        </w:tc>
        <w:tc>
          <w:tcPr>
            <w:tcW w:w="3118" w:type="dxa"/>
            <w:vAlign w:val="center"/>
          </w:tcPr>
          <w:p w14:paraId="53578F89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8 151</w:t>
            </w:r>
          </w:p>
        </w:tc>
        <w:tc>
          <w:tcPr>
            <w:tcW w:w="3118" w:type="dxa"/>
            <w:vAlign w:val="center"/>
          </w:tcPr>
          <w:p w14:paraId="39AD19E1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6 658</w:t>
            </w:r>
          </w:p>
        </w:tc>
      </w:tr>
    </w:tbl>
    <w:p w14:paraId="24430EE5"/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7"/>
        <w:gridCol w:w="4677"/>
      </w:tblGrid>
      <w:tr w14:paraId="1E85A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shd w:val="clear" w:color="auto" w:fill="D9EAF7"/>
            <w:vAlign w:val="center"/>
          </w:tcPr>
          <w:p w14:paraId="5458A96F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Показатель</w:t>
            </w:r>
          </w:p>
        </w:tc>
        <w:tc>
          <w:tcPr>
            <w:tcW w:w="4677" w:type="dxa"/>
            <w:shd w:val="clear" w:color="auto" w:fill="D9EAF7"/>
            <w:vAlign w:val="center"/>
          </w:tcPr>
          <w:p w14:paraId="36511E91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Значение</w:t>
            </w:r>
          </w:p>
        </w:tc>
      </w:tr>
      <w:tr w14:paraId="06C5B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vAlign w:val="center"/>
          </w:tcPr>
          <w:p w14:paraId="1C898845"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Количество примеров</w:t>
            </w:r>
          </w:p>
        </w:tc>
        <w:tc>
          <w:tcPr>
            <w:tcW w:w="4677" w:type="dxa"/>
            <w:vAlign w:val="center"/>
          </w:tcPr>
          <w:p w14:paraId="14AEB508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</w:t>
            </w:r>
          </w:p>
        </w:tc>
      </w:tr>
      <w:tr w14:paraId="4CBBC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vAlign w:val="center"/>
          </w:tcPr>
          <w:p w14:paraId="78057037"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Общий размер исходных документов</w:t>
            </w:r>
          </w:p>
        </w:tc>
        <w:tc>
          <w:tcPr>
            <w:tcW w:w="4677" w:type="dxa"/>
            <w:vAlign w:val="center"/>
          </w:tcPr>
          <w:p w14:paraId="51FAA599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371.10 KB</w:t>
            </w:r>
          </w:p>
        </w:tc>
      </w:tr>
      <w:tr w14:paraId="0615E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vAlign w:val="center"/>
          </w:tcPr>
          <w:p w14:paraId="0FF484A6"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Общий размер выделенного текста</w:t>
            </w:r>
          </w:p>
        </w:tc>
        <w:tc>
          <w:tcPr>
            <w:tcW w:w="4677" w:type="dxa"/>
            <w:vAlign w:val="center"/>
          </w:tcPr>
          <w:p w14:paraId="6D4D52C4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101.36 KB</w:t>
            </w:r>
          </w:p>
        </w:tc>
      </w:tr>
      <w:tr w14:paraId="78276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vAlign w:val="center"/>
          </w:tcPr>
          <w:p w14:paraId="41009742"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Средний размер исходного документа</w:t>
            </w:r>
          </w:p>
        </w:tc>
        <w:tc>
          <w:tcPr>
            <w:tcW w:w="4677" w:type="dxa"/>
            <w:vAlign w:val="center"/>
          </w:tcPr>
          <w:p w14:paraId="389C1C39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185.55 KB</w:t>
            </w:r>
          </w:p>
        </w:tc>
      </w:tr>
      <w:tr w14:paraId="63303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vAlign w:val="center"/>
          </w:tcPr>
          <w:p w14:paraId="16FC569E"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Средний объём выделенного текста</w:t>
            </w:r>
          </w:p>
        </w:tc>
        <w:tc>
          <w:tcPr>
            <w:tcW w:w="4677" w:type="dxa"/>
            <w:vAlign w:val="center"/>
          </w:tcPr>
          <w:p w14:paraId="530C6222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50.68 KB</w:t>
            </w:r>
          </w:p>
        </w:tc>
      </w:tr>
    </w:tbl>
    <w:p w14:paraId="0B694ED6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Полученные результаты относятся к исследованным примерам документов, а не ко всему будущему корпусу. Массовое получение корпуса будет выполняться на следующих этапах курса.</w:t>
      </w:r>
    </w:p>
    <w:p w14:paraId="64FC39D1">
      <w:pPr>
        <w:keepNext/>
        <w:spacing w:before="120" w:after="120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</w:rPr>
        <w:t>5.5. Результаты тестирования и воспроизводимость</w:t>
      </w:r>
    </w:p>
    <w:p w14:paraId="171DCAB5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Для выполнения плана тестирования реализовано 9 автоматических тестов. Все тесты завершились успешно.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5"/>
      </w:tblGrid>
      <w:tr w14:paraId="029442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55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32F606">
            <w:pPr>
              <w:spacing w:after="0"/>
            </w:pPr>
            <w:r>
              <w:rPr>
                <w:rFonts w:ascii="Courier New" w:hAnsi="Courier New" w:eastAsia="Courier New" w:cs="Courier New"/>
                <w:sz w:val="20"/>
              </w:rPr>
              <w:t>Ran 9 tests in 0.004s</w:t>
            </w:r>
            <w:r>
              <w:br w:type="textWrapping"/>
            </w:r>
            <w:r>
              <w:br w:type="textWrapping"/>
            </w:r>
            <w:r>
              <w:rPr>
                <w:rFonts w:ascii="Courier New" w:hAnsi="Courier New" w:eastAsia="Courier New" w:cs="Courier New"/>
                <w:sz w:val="20"/>
              </w:rPr>
              <w:t>OK</w:t>
            </w:r>
          </w:p>
        </w:tc>
      </w:tr>
    </w:tbl>
    <w:p w14:paraId="6496E0DE">
      <w:pPr>
        <w:spacing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Для воспроизводимого запуска проекта используется файл requirements.txt и единый скрипт run_lab01.py. Запуск из корневой директории проекта выполняется командами: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5"/>
      </w:tblGrid>
      <w:tr w14:paraId="27D0B0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55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E22985">
            <w:pPr>
              <w:spacing w:after="0"/>
            </w:pPr>
            <w:r>
              <w:rPr>
                <w:rFonts w:ascii="Courier New" w:hAnsi="Courier New" w:eastAsia="Courier New" w:cs="Courier New"/>
                <w:sz w:val="20"/>
              </w:rPr>
              <w:t>python -m pip install -r lab01/requirements.txt</w:t>
            </w:r>
            <w:r>
              <w:br w:type="textWrapping"/>
            </w:r>
            <w:r>
              <w:rPr>
                <w:rFonts w:ascii="Courier New" w:hAnsi="Courier New" w:eastAsia="Courier New" w:cs="Courier New"/>
                <w:sz w:val="20"/>
              </w:rPr>
              <w:t>python lab01/run_lab01.py</w:t>
            </w:r>
          </w:p>
        </w:tc>
      </w:tr>
    </w:tbl>
    <w:p w14:paraId="5EF7C6DB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Скрипт последовательно обрабатывает пример PMC, обрабатывает пример ERIC, рассчитывает статистику и запускает автоматические тесты.</w:t>
      </w:r>
    </w:p>
    <w:p w14:paraId="25205B41">
      <w:pPr>
        <w:keepNext/>
        <w:spacing w:before="200" w:after="120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</w:rPr>
        <w:t>6. Выводы</w:t>
      </w:r>
    </w:p>
    <w:p w14:paraId="31412B83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В ходе лабораторной работы был проведён анализ источников документов для будущего поискового корпуса научных публикаций по психологии, образованию и исследованиям поведения человека.</w:t>
      </w:r>
    </w:p>
    <w:p w14:paraId="4D5CFC86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Было исследовано два источника — PubMed Central и ERIC. Они существенно отличаются способом представления данных. PMC предоставляет структурированный XML в формате JATS, благодаря чему метаданные и основной текст могут быть выделены непосредственно из разметки. В ERIC метаданные и полный текст могут храниться раздельно, а текст приходится извлекать из PDF.</w:t>
      </w:r>
    </w:p>
    <w:p w14:paraId="2942FC13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Для обоих источников была реализована автоматическая обработка и приведение документов к единому JSON-формату. Это создаёт основу для совместной индексации документов в последующих лабораторных работах.</w:t>
      </w:r>
    </w:p>
    <w:p w14:paraId="38EA9AAB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Анализ встроенных поисковых систем PMC и ERIC показал, что наличие терминов запроса в документе не гарантирует его тематическую релевантность. Конкретизация запроса в PMC уменьшает количество найденных документов и улучшает верхнюю часть выдачи, однако полностью тематический шум не исчезает. ERIC благодаря своей специализации на образовательных публикациях в целом предоставляет более однородную тематическую выдачу, но интерпретация сложных запросов поисковой системой не всегда очевидна.</w:t>
      </w:r>
    </w:p>
    <w:p w14:paraId="55BFF606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Разработанные программы успешно прошли 9 автоматических тестов. Воспроизводимый запуск обеспечен через requirements.txt и run_lab01.py.</w:t>
      </w:r>
    </w:p>
    <w:p w14:paraId="520A2B11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Основным ограничением выполненной работы является то, что исследовались отдельные примеры документов, а не полный корпус. Кроме того, при извлечении текста из PDF ERIC в документ могут попадать колонтитулы, номера страниц и элементы списка литературы. При дальнейшем развитии проекта необходимо реализовать массовую загрузку документов, более качественную очистку PDF и автоматическую нормализацию метаданных.</w:t>
      </w:r>
    </w:p>
    <w:p w14:paraId="1C1038B8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Полученные результаты позволяют использовать выбранные источники для формирования корпуса и выполнения последующих лабораторных работ по информационному поиску.</w:t>
      </w:r>
    </w:p>
    <w:p w14:paraId="57FD4821">
      <w:pPr>
        <w:rPr>
          <w:rFonts w:ascii="Times New Roman" w:hAnsi="Times New Roman" w:eastAsia="Times New Roman" w:cs="Times New Roman"/>
          <w:b/>
          <w:sz w:val="28"/>
        </w:rPr>
      </w:pPr>
    </w:p>
    <w:p w14:paraId="7D83CB6D">
      <w:pPr>
        <w:rPr>
          <w:rFonts w:ascii="Times New Roman" w:hAnsi="Times New Roman" w:eastAsia="Times New Roman" w:cs="Times New Roman"/>
          <w:b/>
          <w:sz w:val="28"/>
        </w:rPr>
      </w:pPr>
    </w:p>
    <w:p w14:paraId="6142225E">
      <w:pPr>
        <w:numPr>
          <w:ilvl w:val="0"/>
          <w:numId w:val="7"/>
        </w:numPr>
      </w:pPr>
      <w:r>
        <w:rPr>
          <w:rFonts w:ascii="Times New Roman" w:hAnsi="Times New Roman" w:eastAsia="Times New Roman" w:cs="Times New Roman"/>
          <w:b/>
          <w:sz w:val="28"/>
        </w:rPr>
        <w:t>Репозиторий</w:t>
      </w:r>
    </w:p>
    <w:p w14:paraId="6A070430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Исходный код, примеры документов, результаты обработки, автотесты и отчёт размещены в репозитории GitHub по адресу:</w:t>
      </w:r>
    </w:p>
    <w:p w14:paraId="1247A274">
      <w:pPr>
        <w:spacing w:after="120"/>
        <w:jc w:val="center"/>
      </w:pPr>
      <w:bookmarkStart w:id="0" w:name="_GoBack"/>
      <w:r>
        <w:rPr>
          <w:rFonts w:ascii="Times New Roman" w:hAnsi="Times New Roman" w:eastAsia="Times New Roman" w:cs="Times New Roman"/>
          <w:sz w:val="26"/>
        </w:rPr>
        <w:t>https://github.com/Fasko1/MAI-IR/tree/main/lab01</w:t>
      </w:r>
    </w:p>
    <w:bookmarkEnd w:id="0"/>
    <w:p w14:paraId="4629439F">
      <w:pPr>
        <w:jc w:val="center"/>
      </w:pPr>
      <w:r>
        <w:drawing>
          <wp:inline distT="0" distB="0" distL="114300" distR="114300">
            <wp:extent cx="1457325" cy="1457325"/>
            <wp:effectExtent l="0" t="0" r="5715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34E9B">
      <w:pPr>
        <w:spacing w:after="0"/>
        <w:jc w:val="center"/>
      </w:pPr>
      <w:r>
        <w:rPr>
          <w:rFonts w:ascii="Times New Roman" w:hAnsi="Times New Roman" w:eastAsia="Times New Roman" w:cs="Times New Roman"/>
          <w:i/>
          <w:sz w:val="22"/>
        </w:rPr>
        <w:t>Рисунок  — QR-код для перехода к репозиторию лабораторной работы</w:t>
      </w:r>
    </w:p>
    <w:p w14:paraId="70017B36"/>
    <w:sectPr>
      <w:footerReference r:id="rId5" w:type="default"/>
      <w:pgSz w:w="11906" w:h="16838"/>
      <w:pgMar w:top="1134" w:right="850" w:bottom="1134" w:left="1701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AFCCE9">
    <w:pPr>
      <w:pStyle w:val="26"/>
      <w:jc w:val="center"/>
    </w:pPr>
    <w:r>
      <w:rPr>
        <w:rFonts w:ascii="Times New Roman" w:hAnsi="Times New Roman" w:eastAsia="Times New Roman" w:cs="Times New Roman"/>
        <w:sz w:val="24"/>
      </w:rPr>
      <w:fldChar w:fldCharType="begin"/>
    </w:r>
    <w:r>
      <w:rPr>
        <w:rFonts w:ascii="Times New Roman" w:hAnsi="Times New Roman" w:eastAsia="Times New Roman" w:cs="Times New Roman"/>
        <w:sz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6ED686E5"/>
    <w:multiLevelType w:val="singleLevel"/>
    <w:tmpl w:val="6ED686E5"/>
    <w:lvl w:ilvl="0" w:tentative="0">
      <w:start w:val="7"/>
      <w:numFmt w:val="decimal"/>
      <w:suff w:val="space"/>
      <w:lvlText w:val="%1."/>
      <w:lvlJc w:val="left"/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B5E6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Times New Roman" w:hAnsi="Times New Roman" w:eastAsia="Times New Roman" w:cstheme="minorBidi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  <w:rPr>
      <w:rFonts w:ascii="Times New Roman" w:hAnsi="Times New Roman"/>
      <w:sz w:val="28"/>
    </w:r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  <w:rPr>
      <w:rFonts w:ascii="Times New Roman" w:hAnsi="Times New Roman"/>
      <w:sz w:val="28"/>
    </w:r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1678</Words>
  <Characters>11792</Characters>
  <Lines>0</Lines>
  <Paragraphs>0</Paragraphs>
  <TotalTime>4</TotalTime>
  <ScaleCrop>false</ScaleCrop>
  <LinksUpToDate>false</LinksUpToDate>
  <CharactersWithSpaces>13392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Кирилл Кунавин</cp:lastModifiedBy>
  <dcterms:modified xsi:type="dcterms:W3CDTF">2026-09-21T07:24:48Z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eyJoZGlkIjoiZTJkYmM2ODA2YTcxNDFiYmFlYzczNWNmYWQ5ZDg5MTQiLCJ1c2VySWQiOiI4NDIwMDUwMjAyMjQifQ==</vt:lpwstr>
  </property>
  <property fmtid="{D5CDD505-2E9C-101B-9397-08002B2CF9AE}" pid="3" name="KSOProductBuildVer">
    <vt:lpwstr>1049-12.1.0.28485</vt:lpwstr>
  </property>
  <property fmtid="{D5CDD505-2E9C-101B-9397-08002B2CF9AE}" pid="4" name="ICV">
    <vt:lpwstr>7411477F1240460E9725636111DD2A92_13</vt:lpwstr>
  </property>
</Properties>
</file>