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2761"/>
          <w:sz w:val="64"/>
          <w:szCs w:val="64"/>
        </w:rPr>
        <w:t xml:space="preserve">eVDP</w:t>
      </w:r>
    </w:p>
    <w:p>
      <w:pPr>
        <w:spacing w:after="60"/>
        <w:jc w:val="center"/>
      </w:pPr>
      <w:r>
        <w:rPr>
          <w:b/>
          <w:bCs/>
          <w:color w:val="3B4A9E"/>
          <w:sz w:val="34"/>
          <w:szCs w:val="34"/>
        </w:rPr>
        <w:t xml:space="preserve">Guide du chiffrement PGP</w:t>
      </w:r>
    </w:p>
    <w:p>
      <w:pPr>
        <w:spacing w:after="400"/>
        <w:jc w:val="center"/>
      </w:pPr>
      <w:r>
        <w:rPr>
          <w:i/>
          <w:iCs/>
          <w:color w:val="5B5B5B"/>
          <w:sz w:val="22"/>
          <w:szCs w:val="22"/>
        </w:rPr>
        <w:t xml:space="preserve">Comprendre, installer, utiliser et administrer le chiffrement PGP de la plateforme — guide de reference complet</w:t>
      </w:r>
    </w:p>
    <w:p>
      <w:pPr>
        <w:spacing w:after="40"/>
        <w:jc w:val="center"/>
      </w:pPr>
      <w:r>
        <w:rPr>
          <w:color w:val="5B5B5B"/>
          <w:sz w:val="19"/>
          <w:szCs w:val="19"/>
        </w:rPr>
        <w:t xml:space="preserve">Projet CYBER-DEF 2 -- Plateforme nationale de divulgation coordonnee de vulnerabilites</w:t>
      </w:r>
    </w:p>
    <w:p>
      <w:pPr>
        <w:spacing w:after="700"/>
        <w:jc w:val="center"/>
      </w:pPr>
      <w:r>
        <w:rPr>
          <w:color w:val="5B5B5B"/>
          <w:sz w:val="19"/>
          <w:szCs w:val="19"/>
        </w:rPr>
        <w:t xml:space="preserve">Depot : github.com/wendiouedraogo8-art/evdp</w:t>
      </w:r>
    </w:p>
    <w:p>
      <w:pPr>
        <w:pStyle w:val="Heading1"/>
        <w:pBdr>
          <w:bottom w:val="single" w:color="1E2761" w:sz="6" w:space="4"/>
        </w:pBdr>
        <w:spacing w:after="200" w:before="420"/>
      </w:pPr>
      <w:r>
        <w:rPr>
          <w:b/>
          <w:bCs/>
          <w:color w:val="1E2761"/>
          <w:sz w:val="30"/>
          <w:szCs w:val="30"/>
        </w:rPr>
        <w:t xml:space="preserve">1. Les bases : pourquoi deux clés ?</w:t>
      </w:r>
    </w:p>
    <w:p>
      <w:pPr>
        <w:spacing w:after="160" w:line="300"/>
      </w:pPr>
      <w:r>
        <w:rPr>
          <w:color w:val="1A1A1A"/>
          <w:sz w:val="21"/>
          <w:szCs w:val="21"/>
        </w:rPr>
        <w:t xml:space="preserve">Le PGP (Pretty Good Privacy) repose sur la cryptographie asymetrique : chaque personne genere une paire de deux cles mathematiquement liees mais aux roles opposes.</w:t>
      </w:r>
    </w:p>
    <w:p>
      <w:pPr>
        <w:pStyle w:val="ListParagraph"/>
        <w:numPr>
          <w:ilvl w:val="0"/>
          <w:numId w:val="1"/>
        </w:numPr>
        <w:spacing w:after="80"/>
      </w:pPr>
      <w:r>
        <w:rPr>
          <w:sz w:val="21"/>
          <w:szCs w:val="21"/>
        </w:rPr>
        <w:t xml:space="preserve">La clé publique : sert uniquement à chiffrer. Peut être diffusée à tout le monde sans aucun risque.</w:t>
      </w:r>
    </w:p>
    <w:p>
      <w:pPr>
        <w:pStyle w:val="ListParagraph"/>
        <w:numPr>
          <w:ilvl w:val="0"/>
          <w:numId w:val="1"/>
        </w:numPr>
        <w:spacing w:after="80"/>
      </w:pPr>
      <w:r>
        <w:rPr>
          <w:sz w:val="21"/>
          <w:szCs w:val="21"/>
        </w:rPr>
        <w:t xml:space="preserve">La clé privée : sert uniquement à déchiffrer. Ne doit jamais quitter la machine de son propriétaire, protégée en plus par une phrase secrète.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Analogie : une boîte aux lettres avec une fente. N'importe qui peut y glisser une lettre (chiffrer avec la clé publique), mais une seule personne a la clé qui ouvre la boîte pour la lire (déchiffrer avec la clé privée).</w:t>
      </w:r>
    </w:p>
    <w:p>
      <w:pPr>
        <w:pStyle w:val="Heading1"/>
        <w:pBdr>
          <w:bottom w:val="single" w:color="1E2761" w:sz="6" w:space="4"/>
        </w:pBdr>
        <w:spacing w:after="200" w:before="420"/>
      </w:pPr>
      <w:r>
        <w:rPr>
          <w:b/>
          <w:bCs/>
          <w:color w:val="1E2761"/>
          <w:sz w:val="30"/>
          <w:szCs w:val="30"/>
        </w:rPr>
        <w:t xml:space="preserve">2. Pourquoi eVDP utilise le PGP</w:t>
      </w:r>
    </w:p>
    <w:p>
      <w:pPr>
        <w:spacing w:after="160" w:line="300"/>
      </w:pPr>
      <w:r>
        <w:rPr>
          <w:color w:val="1A1A1A"/>
          <w:sz w:val="21"/>
          <w:szCs w:val="21"/>
        </w:rPr>
        <w:t xml:space="preserve">Un signalement de vulnérabilité décrit, en clair, une faille de sécurité non corrigée sur un système gouvernemental — l'information la plus sensible qui puisse transiter sur la plateforme. Le PGP rend le contenu illisible partout où il transite (base de données, sauvegardes, même pour un administrateur eVDP) — sauf pour qui détient la clé privée correspondante, hors ligne.</w:t>
      </w:r>
    </w:p>
    <w:p>
      <w:pPr>
        <w:pStyle w:val="Heading1"/>
        <w:pBdr>
          <w:bottom w:val="single" w:color="1E2761" w:sz="6" w:space="4"/>
        </w:pBdr>
        <w:spacing w:after="200" w:before="420"/>
      </w:pPr>
      <w:r>
        <w:rPr>
          <w:b/>
          <w:bCs/>
          <w:color w:val="1E2761"/>
          <w:sz w:val="30"/>
          <w:szCs w:val="30"/>
        </w:rPr>
        <w:t xml:space="preserve">3. Pourquoi un outil externe (Kleopatra/GnuPG), jamais eVDP lui-même</w:t>
      </w:r>
    </w:p>
    <w:p>
      <w:pPr>
        <w:spacing w:after="160" w:line="300"/>
      </w:pPr>
      <w:r>
        <w:rPr>
          <w:color w:val="1A1A1A"/>
          <w:sz w:val="21"/>
          <w:szCs w:val="21"/>
        </w:rPr>
        <w:t xml:space="preserve">Regle absolue, ecrite dans le code du projet (apps/core/pgp.py) : eVDP ne stocke jamais de cle privee et ne dechiffre jamais rien cote serveur. Si la plateforme faisait elle-meme le chiffrement, la cle privee devrait a un moment transiter par elle -- annulant tout l'interet. eVDP se contente de verifier la FORME d'un bloc (presence des en-tetes), jamais son contenu.</w:t>
      </w:r>
    </w:p>
    <w:p>
      <w:pPr>
        <w:pBdr>
          <w:left w:val="single" w:color="8A6D00" w:sz="24" w:space="8"/>
        </w:pBdr>
        <w:shd w:fill="F0F1F7" w:val="clear"/>
        <w:spacing w:after="200" w:before="120"/>
        <w:ind w:left="100"/>
      </w:pPr>
      <w:r>
        <w:rPr>
          <w:b/>
          <w:bCs/>
          <w:color w:val="8A6D00"/>
          <w:sz w:val="20"/>
          <w:szCs w:val="20"/>
        </w:rPr>
        <w:t xml:space="preserve">Pourquoi c'est concu ainsi : </w:t>
      </w:r>
      <w:r>
        <w:rPr>
          <w:color w:val="2A2A2A"/>
          <w:sz w:val="20"/>
          <w:szCs w:val="20"/>
        </w:rPr>
        <w:t xml:space="preserve">GnuPG est l'implementation open source et auditee publiquement du standard OpenPGP -- personne ne reinvente sa propre cryptographie maison, ce qui serait une tres mauvaise pratique de securite.</w:t>
      </w:r>
    </w:p>
    <w:p>
      <w:r>
        <w:br w:type="page"/>
      </w:r>
    </w:p>
    <w:p>
      <w:pPr>
        <w:pStyle w:val="Heading1"/>
        <w:pBdr>
          <w:bottom w:val="single" w:color="1E2761" w:sz="6" w:space="4"/>
        </w:pBdr>
        <w:spacing w:after="200" w:before="420"/>
      </w:pPr>
      <w:r>
        <w:rPr>
          <w:b/>
          <w:bCs/>
          <w:color w:val="1E2761"/>
          <w:sz w:val="30"/>
          <w:szCs w:val="30"/>
        </w:rPr>
        <w:t xml:space="preserve">4. Installer Gpg4win et generer sa paire de cles</w:t>
      </w:r>
    </w:p>
    <w:p>
      <w:pPr>
        <w:pStyle w:val="Heading2"/>
        <w:spacing w:after="130" w:before="320"/>
      </w:pPr>
      <w:r>
        <w:rPr>
          <w:b/>
          <w:bCs/>
          <w:color w:val="3B4A9E"/>
          <w:sz w:val="24"/>
          <w:szCs w:val="24"/>
        </w:rPr>
        <w:t xml:space="preserve">4.1 -- Installation</w:t>
      </w:r>
    </w:p>
    <w:p>
      <w:pPr>
        <w:pStyle w:val="ListParagraph"/>
        <w:numPr>
          <w:ilvl w:val="0"/>
          <w:numId w:val="2"/>
        </w:numPr>
        <w:spacing w:after="120"/>
      </w:pPr>
      <w:r>
        <w:rPr>
          <w:sz w:val="21"/>
          <w:szCs w:val="21"/>
        </w:rPr>
        <w:t xml:space="preserve">Telecharger Gpg4win sur gpg4win.org/get-gpg4win.html (gratuit -- choisir 0 $ si un don est propose)</w:t>
      </w:r>
    </w:p>
    <w:p>
      <w:pPr>
        <w:pStyle w:val="ListParagraph"/>
        <w:numPr>
          <w:ilvl w:val="0"/>
          <w:numId w:val="2"/>
        </w:numPr>
        <w:spacing w:after="120"/>
      </w:pPr>
      <w:r>
        <w:rPr>
          <w:sz w:val="21"/>
          <w:szCs w:val="21"/>
        </w:rPr>
        <w:t xml:space="preserve">Lancer l'installeur en tant qu'administrateur (clic droit -&gt; Executer en tant qu'administrateur)</w:t>
      </w:r>
    </w:p>
    <w:p>
      <w:pPr>
        <w:pStyle w:val="ListParagraph"/>
        <w:numPr>
          <w:ilvl w:val="0"/>
          <w:numId w:val="2"/>
        </w:numPr>
        <w:spacing w:after="120"/>
      </w:pPr>
      <w:r>
        <w:rPr>
          <w:sz w:val="21"/>
          <w:szCs w:val="21"/>
        </w:rPr>
        <w:t xml:space="preserve">Garder les composants par defaut coches (GnuPG et Kleopatra au minimum)</w:t>
      </w:r>
    </w:p>
    <w:p>
      <w:pPr>
        <w:pStyle w:val="ListParagraph"/>
        <w:numPr>
          <w:ilvl w:val="0"/>
          <w:numId w:val="2"/>
        </w:numPr>
        <w:spacing w:after="120"/>
      </w:pPr>
      <w:r>
        <w:rPr>
          <w:sz w:val="21"/>
          <w:szCs w:val="21"/>
        </w:rPr>
        <w:t xml:space="preserve">Terminer l'installation -- Kleopatra s'ouvre automatiquement</w:t>
      </w:r>
    </w:p>
    <w:p>
      <w:pPr>
        <w:pStyle w:val="Heading2"/>
        <w:spacing w:after="130" w:before="320"/>
      </w:pPr>
      <w:r>
        <w:rPr>
          <w:b/>
          <w:bCs/>
          <w:color w:val="3B4A9E"/>
          <w:sz w:val="24"/>
          <w:szCs w:val="24"/>
        </w:rPr>
        <w:t xml:space="preserve">4.2 -- Générer une paire de clés</w:t>
      </w:r>
    </w:p>
    <w:p>
      <w:pPr>
        <w:pStyle w:val="ListParagraph"/>
        <w:numPr>
          <w:ilvl w:val="0"/>
          <w:numId w:val="3"/>
        </w:numPr>
        <w:spacing w:after="120"/>
      </w:pPr>
      <w:r>
        <w:rPr>
          <w:sz w:val="21"/>
          <w:szCs w:val="21"/>
        </w:rPr>
        <w:t xml:space="preserve">Dans Kleopatra : "Nouvelle paire de cles..."</w:t>
      </w:r>
    </w:p>
    <w:p>
      <w:pPr>
        <w:pStyle w:val="ListParagraph"/>
        <w:numPr>
          <w:ilvl w:val="0"/>
          <w:numId w:val="3"/>
        </w:numPr>
        <w:spacing w:after="120"/>
      </w:pPr>
      <w:r>
        <w:rPr>
          <w:sz w:val="21"/>
          <w:szCs w:val="21"/>
        </w:rPr>
        <w:t xml:space="preserve">Renseigner un nom et une adresse email</w:t>
      </w:r>
    </w:p>
    <w:p>
      <w:pPr>
        <w:pStyle w:val="ListParagraph"/>
        <w:numPr>
          <w:ilvl w:val="0"/>
          <w:numId w:val="3"/>
        </w:numPr>
        <w:spacing w:after="120"/>
      </w:pPr>
      <w:r>
        <w:rPr>
          <w:sz w:val="21"/>
          <w:szCs w:val="21"/>
        </w:rPr>
        <w:t xml:space="preserve">Cocher "Protegez la cle generee avec une phrase secrete" (bonne pratique)</w:t>
      </w:r>
    </w:p>
    <w:p>
      <w:pPr>
        <w:pStyle w:val="ListParagraph"/>
        <w:numPr>
          <w:ilvl w:val="0"/>
          <w:numId w:val="3"/>
        </w:numPr>
        <w:spacing w:after="120"/>
      </w:pPr>
      <w:r>
        <w:rPr>
          <w:sz w:val="21"/>
          <w:szCs w:val="21"/>
        </w:rPr>
        <w:t xml:space="preserve">Laisser curve25519 (choix moderne recommande) et une validite de 2-3 ans</w:t>
      </w:r>
    </w:p>
    <w:p>
      <w:pPr>
        <w:pStyle w:val="ListParagraph"/>
        <w:numPr>
          <w:ilvl w:val="0"/>
          <w:numId w:val="3"/>
        </w:numPr>
        <w:spacing w:after="120"/>
      </w:pPr>
      <w:r>
        <w:rPr>
          <w:sz w:val="21"/>
          <w:szCs w:val="21"/>
        </w:rPr>
        <w:t xml:space="preserve">Valider, puis definir sa phrase secrete</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La phrase secrete n'est jamais recuperable en cas d'oubli -- elle protege la cle privee, pas seulement un compte en ligne.</w:t>
      </w:r>
    </w:p>
    <w:p>
      <w:pPr>
        <w:pStyle w:val="Heading2"/>
        <w:spacing w:after="130" w:before="320"/>
      </w:pPr>
      <w:r>
        <w:rPr>
          <w:b/>
          <w:bCs/>
          <w:color w:val="3B4A9E"/>
          <w:sz w:val="24"/>
          <w:szCs w:val="24"/>
        </w:rPr>
        <w:t xml:space="preserve">4.3 -- Exporter la clé publique (jamais la privée)</w:t>
      </w:r>
    </w:p>
    <w:p>
      <w:pPr>
        <w:spacing w:after="160" w:line="300"/>
      </w:pPr>
      <w:r>
        <w:rPr>
          <w:color w:val="1A1A1A"/>
          <w:sz w:val="21"/>
          <w:szCs w:val="21"/>
        </w:rPr>
        <w:t xml:space="preserve">Clic droit sur le certificat -&gt; Exporter... -&gt; enregistrer en .asc (format texte armure). Un fichier .asc commence toujours par -----BEGIN PGP PUBLIC KEY BLOCK----- et se termine par -----END PGP PUBLIC KEY BLOCK-----.</w:t>
      </w:r>
    </w:p>
    <w:p>
      <w:pPr>
        <w:pStyle w:val="Heading1"/>
        <w:pBdr>
          <w:bottom w:val="single" w:color="1E2761" w:sz="6" w:space="4"/>
        </w:pBdr>
        <w:spacing w:after="200" w:before="420"/>
      </w:pPr>
      <w:r>
        <w:rPr>
          <w:b/>
          <w:bCs/>
          <w:color w:val="1E2761"/>
          <w:sz w:val="30"/>
          <w:szCs w:val="30"/>
        </w:rPr>
        <w:t xml:space="preserve">5. Les champs du formulaire de signalement</w:t>
      </w:r>
    </w:p>
    <w:p>
      <w:pPr>
        <w:spacing w:after="160" w:line="300"/>
      </w:pPr>
      <w:r>
        <w:rPr>
          <w:color w:val="1A1A1A"/>
          <w:sz w:val="21"/>
          <w:szCs w:val="21"/>
        </w:rPr>
        <w:t xml:space="preserve">La plateforme ne chiffre pas tout le formulaire -- seul un champ optionnel dedie l'est. Cette repartition permet au CSIRT de trier les dossiers (chercher, filtrer par severite, assigner) sans avoir besoin de dechiffrer quoi que ce soit pour cela.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2%"/>
            <w:shd w:fill="1E2761" w:val="clear"/>
            <w:tcMar>
              <w:top w:type="dxa" w:w="80"/>
              <w:left w:type="dxa" w:w="100"/>
              <w:bottom w:type="dxa" w:w="80"/>
              <w:right w:type="dxa" w:w="100"/>
            </w:tcMar>
            <w:vAlign w:val="center"/>
          </w:tcPr>
          <w:p>
            <w:r>
              <w:rPr>
                <w:b/>
                <w:bCs/>
                <w:color w:val="FFFFFF"/>
                <w:sz w:val="19"/>
                <w:szCs w:val="19"/>
              </w:rPr>
              <w:t xml:space="preserve">Champ du formulaire</w:t>
            </w:r>
          </w:p>
        </w:tc>
        <w:tc>
          <w:tcPr>
            <w:tcW w:type="pct" w:w="22%"/>
            <w:shd w:fill="1E2761" w:val="clear"/>
            <w:tcMar>
              <w:top w:type="dxa" w:w="80"/>
              <w:left w:type="dxa" w:w="100"/>
              <w:bottom w:type="dxa" w:w="80"/>
              <w:right w:type="dxa" w:w="100"/>
            </w:tcMar>
            <w:vAlign w:val="center"/>
          </w:tcPr>
          <w:p>
            <w:r>
              <w:rPr>
                <w:b/>
                <w:bCs/>
                <w:color w:val="FFFFFF"/>
                <w:sz w:val="19"/>
                <w:szCs w:val="19"/>
              </w:rPr>
              <w:t xml:space="preserve">Chiffré ?</w:t>
            </w:r>
          </w:p>
        </w:tc>
        <w:tc>
          <w:tcPr>
            <w:tcW w:type="pct" w:w="46%"/>
            <w:shd w:fill="1E2761" w:val="clear"/>
            <w:tcMar>
              <w:top w:type="dxa" w:w="80"/>
              <w:left w:type="dxa" w:w="100"/>
              <w:bottom w:type="dxa" w:w="80"/>
              <w:right w:type="dxa" w:w="100"/>
            </w:tcMar>
            <w:vAlign w:val="center"/>
          </w:tcPr>
          <w:p>
            <w:r>
              <w:rPr>
                <w:b/>
                <w:bCs/>
                <w:color w:val="FFFFFF"/>
                <w:sz w:val="19"/>
                <w:szCs w:val="19"/>
              </w:rPr>
              <w:t xml:space="preserve">Contenu typique</w:t>
            </w:r>
          </w:p>
        </w:tc>
      </w:tr>
      <w:tr>
        <w:tc>
          <w:tcPr>
            <w:tcW w:type="pct" w:w="32%"/>
            <w:tcMar>
              <w:top w:type="dxa" w:w="80"/>
              <w:left w:type="dxa" w:w="100"/>
              <w:bottom w:type="dxa" w:w="80"/>
              <w:right w:type="dxa" w:w="100"/>
            </w:tcMar>
            <w:vAlign w:val="center"/>
          </w:tcPr>
          <w:p>
            <w:r>
              <w:rPr>
                <w:b w:val="false"/>
                <w:bCs w:val="false"/>
                <w:color w:val="1A1A1A"/>
                <w:sz w:val="19"/>
                <w:szCs w:val="19"/>
              </w:rPr>
              <w:t xml:space="preserve">Titre, Description</w:t>
            </w:r>
          </w:p>
        </w:tc>
        <w:tc>
          <w:tcPr>
            <w:tcW w:type="pct" w:w="22%"/>
            <w:tcMar>
              <w:top w:type="dxa" w:w="80"/>
              <w:left w:type="dxa" w:w="100"/>
              <w:bottom w:type="dxa" w:w="80"/>
              <w:right w:type="dxa" w:w="100"/>
            </w:tcMar>
            <w:vAlign w:val="center"/>
          </w:tcPr>
          <w:p>
            <w:r>
              <w:rPr>
                <w:b w:val="false"/>
                <w:bCs w:val="false"/>
                <w:color w:val="1A1A1A"/>
                <w:sz w:val="19"/>
                <w:szCs w:val="19"/>
              </w:rPr>
              <w:t xml:space="preserve">Non</w:t>
            </w:r>
          </w:p>
        </w:tc>
        <w:tc>
          <w:tcPr>
            <w:tcW w:type="pct" w:w="46%"/>
            <w:tcMar>
              <w:top w:type="dxa" w:w="80"/>
              <w:left w:type="dxa" w:w="100"/>
              <w:bottom w:type="dxa" w:w="80"/>
              <w:right w:type="dxa" w:w="100"/>
            </w:tcMar>
            <w:vAlign w:val="center"/>
          </w:tcPr>
          <w:p>
            <w:r>
              <w:rPr>
                <w:b w:val="false"/>
                <w:bCs w:val="false"/>
                <w:color w:val="1A1A1A"/>
                <w:sz w:val="19"/>
                <w:szCs w:val="19"/>
              </w:rPr>
              <w:t xml:space="preserve">Nature générale du problème, suffisant pour trier le dossier</w:t>
            </w:r>
          </w:p>
        </w:tc>
      </w:tr>
      <w:tr>
        <w:tc>
          <w:tcPr>
            <w:tcW w:type="pct" w:w="32%"/>
            <w:tcMar>
              <w:top w:type="dxa" w:w="80"/>
              <w:left w:type="dxa" w:w="100"/>
              <w:bottom w:type="dxa" w:w="80"/>
              <w:right w:type="dxa" w:w="100"/>
            </w:tcMar>
            <w:vAlign w:val="center"/>
          </w:tcPr>
          <w:p>
            <w:r>
              <w:rPr>
                <w:b w:val="false"/>
                <w:bCs w:val="false"/>
                <w:color w:val="1A1A1A"/>
                <w:sz w:val="19"/>
                <w:szCs w:val="19"/>
              </w:rPr>
              <w:t xml:space="preserve">Étapes de reproduction, Impact</w:t>
            </w:r>
          </w:p>
        </w:tc>
        <w:tc>
          <w:tcPr>
            <w:tcW w:type="pct" w:w="22%"/>
            <w:tcMar>
              <w:top w:type="dxa" w:w="80"/>
              <w:left w:type="dxa" w:w="100"/>
              <w:bottom w:type="dxa" w:w="80"/>
              <w:right w:type="dxa" w:w="100"/>
            </w:tcMar>
            <w:vAlign w:val="center"/>
          </w:tcPr>
          <w:p>
            <w:r>
              <w:rPr>
                <w:b w:val="false"/>
                <w:bCs w:val="false"/>
                <w:color w:val="1A1A1A"/>
                <w:sz w:val="19"/>
                <w:szCs w:val="19"/>
              </w:rPr>
              <w:t xml:space="preserve">Non</w:t>
            </w:r>
          </w:p>
        </w:tc>
        <w:tc>
          <w:tcPr>
            <w:tcW w:type="pct" w:w="46%"/>
            <w:tcMar>
              <w:top w:type="dxa" w:w="80"/>
              <w:left w:type="dxa" w:w="100"/>
              <w:bottom w:type="dxa" w:w="80"/>
              <w:right w:type="dxa" w:w="100"/>
            </w:tcMar>
            <w:vAlign w:val="center"/>
          </w:tcPr>
          <w:p>
            <w:r>
              <w:rPr>
                <w:b w:val="false"/>
                <w:bCs w:val="false"/>
                <w:color w:val="1A1A1A"/>
                <w:sz w:val="19"/>
                <w:szCs w:val="19"/>
              </w:rPr>
              <w:t xml:space="preserve">Contexte factuel, sans preuve exploitable brute</w:t>
            </w:r>
          </w:p>
        </w:tc>
      </w:tr>
      <w:tr>
        <w:tc>
          <w:tcPr>
            <w:tcW w:type="pct" w:w="32%"/>
            <w:tcMar>
              <w:top w:type="dxa" w:w="80"/>
              <w:left w:type="dxa" w:w="100"/>
              <w:bottom w:type="dxa" w:w="80"/>
              <w:right w:type="dxa" w:w="100"/>
            </w:tcMar>
            <w:vAlign w:val="center"/>
          </w:tcPr>
          <w:p>
            <w:r>
              <w:rPr>
                <w:b w:val="false"/>
                <w:bCs w:val="false"/>
                <w:color w:val="1A1A1A"/>
                <w:sz w:val="19"/>
                <w:szCs w:val="19"/>
              </w:rPr>
              <w:t xml:space="preserve">Sévérité, type, CWE, vecteur CVSS</w:t>
            </w:r>
          </w:p>
        </w:tc>
        <w:tc>
          <w:tcPr>
            <w:tcW w:type="pct" w:w="22%"/>
            <w:tcMar>
              <w:top w:type="dxa" w:w="80"/>
              <w:left w:type="dxa" w:w="100"/>
              <w:bottom w:type="dxa" w:w="80"/>
              <w:right w:type="dxa" w:w="100"/>
            </w:tcMar>
            <w:vAlign w:val="center"/>
          </w:tcPr>
          <w:p>
            <w:r>
              <w:rPr>
                <w:b w:val="false"/>
                <w:bCs w:val="false"/>
                <w:color w:val="1A1A1A"/>
                <w:sz w:val="19"/>
                <w:szCs w:val="19"/>
              </w:rPr>
              <w:t xml:space="preserve">Non</w:t>
            </w:r>
          </w:p>
        </w:tc>
        <w:tc>
          <w:tcPr>
            <w:tcW w:type="pct" w:w="46%"/>
            <w:tcMar>
              <w:top w:type="dxa" w:w="80"/>
              <w:left w:type="dxa" w:w="100"/>
              <w:bottom w:type="dxa" w:w="80"/>
              <w:right w:type="dxa" w:w="100"/>
            </w:tcMar>
            <w:vAlign w:val="center"/>
          </w:tcPr>
          <w:p>
            <w:r>
              <w:rPr>
                <w:b w:val="false"/>
                <w:bCs w:val="false"/>
                <w:color w:val="1A1A1A"/>
                <w:sz w:val="19"/>
                <w:szCs w:val="19"/>
              </w:rPr>
              <w:t xml:space="preserve">Métadonnées de priorisation</w:t>
            </w:r>
          </w:p>
        </w:tc>
      </w:tr>
      <w:tr>
        <w:tc>
          <w:tcPr>
            <w:tcW w:type="pct" w:w="32%"/>
            <w:tcMar>
              <w:top w:type="dxa" w:w="80"/>
              <w:left w:type="dxa" w:w="100"/>
              <w:bottom w:type="dxa" w:w="80"/>
              <w:right w:type="dxa" w:w="100"/>
            </w:tcMar>
            <w:vAlign w:val="center"/>
          </w:tcPr>
          <w:p>
            <w:r>
              <w:rPr>
                <w:b w:val="false"/>
                <w:bCs w:val="false"/>
                <w:color w:val="1A1A1A"/>
                <w:sz w:val="19"/>
                <w:szCs w:val="19"/>
              </w:rPr>
              <w:t xml:space="preserve">Preuve de concept</w:t>
            </w:r>
          </w:p>
        </w:tc>
        <w:tc>
          <w:tcPr>
            <w:tcW w:type="pct" w:w="22%"/>
            <w:tcMar>
              <w:top w:type="dxa" w:w="80"/>
              <w:left w:type="dxa" w:w="100"/>
              <w:bottom w:type="dxa" w:w="80"/>
              <w:right w:type="dxa" w:w="100"/>
            </w:tcMar>
            <w:vAlign w:val="center"/>
          </w:tcPr>
          <w:p>
            <w:r>
              <w:rPr>
                <w:b w:val="false"/>
                <w:bCs w:val="false"/>
                <w:color w:val="1A1A1A"/>
                <w:sz w:val="19"/>
                <w:szCs w:val="19"/>
              </w:rPr>
              <w:t xml:space="preserve">Non (sauf discipline du déclarant)</w:t>
            </w:r>
          </w:p>
        </w:tc>
        <w:tc>
          <w:tcPr>
            <w:tcW w:type="pct" w:w="46%"/>
            <w:tcMar>
              <w:top w:type="dxa" w:w="80"/>
              <w:left w:type="dxa" w:w="100"/>
              <w:bottom w:type="dxa" w:w="80"/>
              <w:right w:type="dxa" w:w="100"/>
            </w:tcMar>
            <w:vAlign w:val="center"/>
          </w:tcPr>
          <w:p>
            <w:r>
              <w:rPr>
                <w:b w:val="false"/>
                <w:bCs w:val="false"/>
                <w:color w:val="1A1A1A"/>
                <w:sz w:val="19"/>
                <w:szCs w:val="19"/>
              </w:rPr>
              <w:t xml:space="preserve">Idéalement une version édulcorée ; le détail dangereux va dans le bloc PGP</w:t>
            </w:r>
          </w:p>
        </w:tc>
      </w:tr>
      <w:tr>
        <w:tc>
          <w:tcPr>
            <w:tcW w:type="pct" w:w="32%"/>
            <w:tcMar>
              <w:top w:type="dxa" w:w="80"/>
              <w:left w:type="dxa" w:w="100"/>
              <w:bottom w:type="dxa" w:w="80"/>
              <w:right w:type="dxa" w:w="100"/>
            </w:tcMar>
            <w:vAlign w:val="center"/>
          </w:tcPr>
          <w:p>
            <w:r>
              <w:rPr>
                <w:b w:val="false"/>
                <w:bCs w:val="false"/>
                <w:color w:val="1A1A1A"/>
                <w:sz w:val="19"/>
                <w:szCs w:val="19"/>
              </w:rPr>
              <w:t xml:space="preserve">Pièces jointes</w:t>
            </w:r>
          </w:p>
        </w:tc>
        <w:tc>
          <w:tcPr>
            <w:tcW w:type="pct" w:w="22%"/>
            <w:tcMar>
              <w:top w:type="dxa" w:w="80"/>
              <w:left w:type="dxa" w:w="100"/>
              <w:bottom w:type="dxa" w:w="80"/>
              <w:right w:type="dxa" w:w="100"/>
            </w:tcMar>
            <w:vAlign w:val="center"/>
          </w:tcPr>
          <w:p>
            <w:r>
              <w:rPr>
                <w:b w:val="false"/>
                <w:bCs w:val="false"/>
                <w:color w:val="1A1A1A"/>
                <w:sz w:val="19"/>
                <w:szCs w:val="19"/>
              </w:rPr>
              <w:t xml:space="preserve">Non par défaut</w:t>
            </w:r>
          </w:p>
        </w:tc>
        <w:tc>
          <w:tcPr>
            <w:tcW w:type="pct" w:w="46%"/>
            <w:tcMar>
              <w:top w:type="dxa" w:w="80"/>
              <w:left w:type="dxa" w:w="100"/>
              <w:bottom w:type="dxa" w:w="80"/>
              <w:right w:type="dxa" w:w="100"/>
            </w:tcMar>
            <w:vAlign w:val="center"/>
          </w:tcPr>
          <w:p>
            <w:r>
              <w:rPr>
                <w:b w:val="false"/>
                <w:bCs w:val="false"/>
                <w:color w:val="1A1A1A"/>
                <w:sz w:val="19"/>
                <w:szCs w:val="19"/>
              </w:rPr>
              <w:t xml:space="preserve">Chiffrées uniquement si le déclarant chiffre le fichier lui-même avant dépôt</w:t>
            </w:r>
          </w:p>
        </w:tc>
      </w:tr>
      <w:tr>
        <w:tc>
          <w:tcPr>
            <w:tcW w:type="pct" w:w="32%"/>
            <w:tcMar>
              <w:top w:type="dxa" w:w="80"/>
              <w:left w:type="dxa" w:w="100"/>
              <w:bottom w:type="dxa" w:w="80"/>
              <w:right w:type="dxa" w:w="100"/>
            </w:tcMar>
            <w:vAlign w:val="center"/>
          </w:tcPr>
          <w:p>
            <w:r>
              <w:rPr>
                <w:b w:val="false"/>
                <w:bCs w:val="false"/>
                <w:color w:val="1A1A1A"/>
                <w:sz w:val="19"/>
                <w:szCs w:val="19"/>
              </w:rPr>
              <w:t xml:space="preserve">Rapport chiffré PGP (pgp_payload)</w:t>
            </w:r>
          </w:p>
        </w:tc>
        <w:tc>
          <w:tcPr>
            <w:tcW w:type="pct" w:w="22%"/>
            <w:tcMar>
              <w:top w:type="dxa" w:w="80"/>
              <w:left w:type="dxa" w:w="100"/>
              <w:bottom w:type="dxa" w:w="80"/>
              <w:right w:type="dxa" w:w="100"/>
            </w:tcMar>
            <w:vAlign w:val="center"/>
          </w:tcPr>
          <w:p>
            <w:r>
              <w:rPr>
                <w:b w:val="false"/>
                <w:bCs w:val="false"/>
                <w:color w:val="1A1A1A"/>
                <w:sz w:val="19"/>
                <w:szCs w:val="19"/>
              </w:rPr>
              <w:t xml:space="preserve">Oui, si rempli</w:t>
            </w:r>
          </w:p>
        </w:tc>
        <w:tc>
          <w:tcPr>
            <w:tcW w:type="pct" w:w="46%"/>
            <w:tcMar>
              <w:top w:type="dxa" w:w="80"/>
              <w:left w:type="dxa" w:w="100"/>
              <w:bottom w:type="dxa" w:w="80"/>
              <w:right w:type="dxa" w:w="100"/>
            </w:tcMar>
            <w:vAlign w:val="center"/>
          </w:tcPr>
          <w:p>
            <w:r>
              <w:rPr>
                <w:b w:val="false"/>
                <w:bCs w:val="false"/>
                <w:color w:val="1A1A1A"/>
                <w:sz w:val="19"/>
                <w:szCs w:val="19"/>
              </w:rPr>
              <w:t xml:space="preserve">Tout ce qui rendrait la faille immédiatement exploitable en cas de fuite</w:t>
            </w:r>
          </w:p>
        </w:tc>
      </w:tr>
    </w:tbl>
    <w:p>
      <w:r>
        <w:br w:type="page"/>
      </w:r>
    </w:p>
    <w:p>
      <w:pPr>
        <w:pStyle w:val="Heading1"/>
        <w:pBdr>
          <w:bottom w:val="single" w:color="1E2761" w:sz="6" w:space="4"/>
        </w:pBdr>
        <w:spacing w:after="200" w:before="420"/>
      </w:pPr>
      <w:r>
        <w:rPr>
          <w:b/>
          <w:bCs/>
          <w:color w:val="1E2761"/>
          <w:sz w:val="30"/>
          <w:szCs w:val="30"/>
        </w:rPr>
        <w:t xml:space="preserve">6. Que mettre concrètement dans le bloc PGP</w:t>
      </w:r>
    </w:p>
    <w:p>
      <w:pPr>
        <w:spacing w:after="160" w:line="300"/>
      </w:pPr>
      <w:r>
        <w:rPr>
          <w:color w:val="1A1A1A"/>
          <w:sz w:val="21"/>
          <w:szCs w:val="21"/>
        </w:rPr>
        <w:t xml:space="preserve">La question a se poser : si cette information precise tombait entre de mauvaises mains avant correction, donnerait-elle directement les moyens de l'exploiter ou de nuire a quelqu'un ? Si oui, elle va dans le bloc chiffre.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1E2761" w:val="clear"/>
            <w:tcMar>
              <w:top w:type="dxa" w:w="80"/>
              <w:left w:type="dxa" w:w="100"/>
              <w:bottom w:type="dxa" w:w="80"/>
              <w:right w:type="dxa" w:w="100"/>
            </w:tcMar>
            <w:vAlign w:val="center"/>
          </w:tcPr>
          <w:p>
            <w:r>
              <w:rPr>
                <w:b/>
                <w:bCs/>
                <w:color w:val="FFFFFF"/>
                <w:sz w:val="19"/>
                <w:szCs w:val="19"/>
              </w:rPr>
              <w:t xml:space="preserve">Catégorie</w:t>
            </w:r>
          </w:p>
        </w:tc>
        <w:tc>
          <w:tcPr>
            <w:tcW w:type="pct" w:w="62%"/>
            <w:shd w:fill="1E2761" w:val="clear"/>
            <w:tcMar>
              <w:top w:type="dxa" w:w="80"/>
              <w:left w:type="dxa" w:w="100"/>
              <w:bottom w:type="dxa" w:w="80"/>
              <w:right w:type="dxa" w:w="100"/>
            </w:tcMar>
            <w:vAlign w:val="center"/>
          </w:tcPr>
          <w:p>
            <w:r>
              <w:rPr>
                <w:b/>
                <w:bCs/>
                <w:color w:val="FFFFFF"/>
                <w:sz w:val="19"/>
                <w:szCs w:val="19"/>
              </w:rPr>
              <w:t xml:space="preserve">Exemple concret</w:t>
            </w:r>
          </w:p>
        </w:tc>
      </w:tr>
      <w:tr>
        <w:tc>
          <w:tcPr>
            <w:tcW w:type="pct" w:w="38%"/>
            <w:tcMar>
              <w:top w:type="dxa" w:w="80"/>
              <w:left w:type="dxa" w:w="100"/>
              <w:bottom w:type="dxa" w:w="80"/>
              <w:right w:type="dxa" w:w="100"/>
            </w:tcMar>
            <w:vAlign w:val="center"/>
          </w:tcPr>
          <w:p>
            <w:r>
              <w:rPr>
                <w:b w:val="false"/>
                <w:bCs w:val="false"/>
                <w:color w:val="1A1A1A"/>
                <w:sz w:val="19"/>
                <w:szCs w:val="19"/>
              </w:rPr>
              <w:t xml:space="preserve">Payload ou exploit exact</w:t>
            </w:r>
          </w:p>
        </w:tc>
        <w:tc>
          <w:tcPr>
            <w:tcW w:type="pct" w:w="62%"/>
            <w:tcMar>
              <w:top w:type="dxa" w:w="80"/>
              <w:left w:type="dxa" w:w="100"/>
              <w:bottom w:type="dxa" w:w="80"/>
              <w:right w:type="dxa" w:w="100"/>
            </w:tcMar>
            <w:vAlign w:val="center"/>
          </w:tcPr>
          <w:p>
            <w:r>
              <w:rPr>
                <w:b w:val="false"/>
                <w:bCs w:val="false"/>
                <w:color w:val="1A1A1A"/>
                <w:sz w:val="19"/>
                <w:szCs w:val="19"/>
              </w:rPr>
              <w:t xml:space="preserve">GET /recherche?nom=x' UNION SELECT ... -- , script d'exploitation complet</w:t>
            </w:r>
          </w:p>
        </w:tc>
      </w:tr>
      <w:tr>
        <w:tc>
          <w:tcPr>
            <w:tcW w:type="pct" w:w="38%"/>
            <w:tcMar>
              <w:top w:type="dxa" w:w="80"/>
              <w:left w:type="dxa" w:w="100"/>
              <w:bottom w:type="dxa" w:w="80"/>
              <w:right w:type="dxa" w:w="100"/>
            </w:tcMar>
            <w:vAlign w:val="center"/>
          </w:tcPr>
          <w:p>
            <w:r>
              <w:rPr>
                <w:b w:val="false"/>
                <w:bCs w:val="false"/>
                <w:color w:val="1A1A1A"/>
                <w:sz w:val="19"/>
                <w:szCs w:val="19"/>
              </w:rPr>
              <w:t xml:space="preserve">Données réelles extraites (la preuve elle-même)</w:t>
            </w:r>
          </w:p>
        </w:tc>
        <w:tc>
          <w:tcPr>
            <w:tcW w:type="pct" w:w="62%"/>
            <w:tcMar>
              <w:top w:type="dxa" w:w="80"/>
              <w:left w:type="dxa" w:w="100"/>
              <w:bottom w:type="dxa" w:w="80"/>
              <w:right w:type="dxa" w:w="100"/>
            </w:tcMar>
            <w:vAlign w:val="center"/>
          </w:tcPr>
          <w:p>
            <w:r>
              <w:rPr>
                <w:b w:val="false"/>
                <w:bCs w:val="false"/>
                <w:color w:val="1A1A1A"/>
                <w:sz w:val="19"/>
                <w:szCs w:val="19"/>
              </w:rPr>
              <w:t xml:space="preserve">2-3 vraies entrées extraites lors du test, suffisantes pour prouver la gravité</w:t>
            </w:r>
          </w:p>
        </w:tc>
      </w:tr>
      <w:tr>
        <w:tc>
          <w:tcPr>
            <w:tcW w:type="pct" w:w="38%"/>
            <w:tcMar>
              <w:top w:type="dxa" w:w="80"/>
              <w:left w:type="dxa" w:w="100"/>
              <w:bottom w:type="dxa" w:w="80"/>
              <w:right w:type="dxa" w:w="100"/>
            </w:tcMar>
            <w:vAlign w:val="center"/>
          </w:tcPr>
          <w:p>
            <w:r>
              <w:rPr>
                <w:b w:val="false"/>
                <w:bCs w:val="false"/>
                <w:color w:val="1A1A1A"/>
                <w:sz w:val="19"/>
                <w:szCs w:val="19"/>
              </w:rPr>
              <w:t xml:space="preserve">Identifiants ou accès encore actifs</w:t>
            </w:r>
          </w:p>
        </w:tc>
        <w:tc>
          <w:tcPr>
            <w:tcW w:type="pct" w:w="62%"/>
            <w:tcMar>
              <w:top w:type="dxa" w:w="80"/>
              <w:left w:type="dxa" w:w="100"/>
              <w:bottom w:type="dxa" w:w="80"/>
              <w:right w:type="dxa" w:w="100"/>
            </w:tcMar>
            <w:vAlign w:val="center"/>
          </w:tcPr>
          <w:p>
            <w:r>
              <w:rPr>
                <w:b w:val="false"/>
                <w:bCs w:val="false"/>
                <w:color w:val="1A1A1A"/>
                <w:sz w:val="19"/>
                <w:szCs w:val="19"/>
              </w:rPr>
              <w:t xml:space="preserve">Compte créé/détourné, jeton API, mot de passe trouvé en dur</w:t>
            </w:r>
          </w:p>
        </w:tc>
      </w:tr>
      <w:tr>
        <w:tc>
          <w:tcPr>
            <w:tcW w:type="pct" w:w="38%"/>
            <w:tcMar>
              <w:top w:type="dxa" w:w="80"/>
              <w:left w:type="dxa" w:w="100"/>
              <w:bottom w:type="dxa" w:w="80"/>
              <w:right w:type="dxa" w:w="100"/>
            </w:tcMar>
            <w:vAlign w:val="center"/>
          </w:tcPr>
          <w:p>
            <w:r>
              <w:rPr>
                <w:b w:val="false"/>
                <w:bCs w:val="false"/>
                <w:color w:val="1A1A1A"/>
                <w:sz w:val="19"/>
                <w:szCs w:val="19"/>
              </w:rPr>
              <w:t xml:space="preserve">Détails d'infrastructure interne révélés</w:t>
            </w:r>
          </w:p>
        </w:tc>
        <w:tc>
          <w:tcPr>
            <w:tcW w:type="pct" w:w="62%"/>
            <w:tcMar>
              <w:top w:type="dxa" w:w="80"/>
              <w:left w:type="dxa" w:w="100"/>
              <w:bottom w:type="dxa" w:w="80"/>
              <w:right w:type="dxa" w:w="100"/>
            </w:tcMar>
            <w:vAlign w:val="center"/>
          </w:tcPr>
          <w:p>
            <w:r>
              <w:rPr>
                <w:b w:val="false"/>
                <w:bCs w:val="false"/>
                <w:color w:val="1A1A1A"/>
                <w:sz w:val="19"/>
                <w:szCs w:val="19"/>
              </w:rPr>
              <w:t xml:space="preserve">Chemins serveur, versions logicielles precises, IP internes</w:t>
            </w:r>
          </w:p>
        </w:tc>
      </w:tr>
      <w:tr>
        <w:tc>
          <w:tcPr>
            <w:tcW w:type="pct" w:w="38%"/>
            <w:tcMar>
              <w:top w:type="dxa" w:w="80"/>
              <w:left w:type="dxa" w:w="100"/>
              <w:bottom w:type="dxa" w:w="80"/>
              <w:right w:type="dxa" w:w="100"/>
            </w:tcMar>
            <w:vAlign w:val="center"/>
          </w:tcPr>
          <w:p>
            <w:r>
              <w:rPr>
                <w:b w:val="false"/>
                <w:bCs w:val="false"/>
                <w:color w:val="1A1A1A"/>
                <w:sz w:val="19"/>
                <w:szCs w:val="19"/>
              </w:rPr>
              <w:t xml:space="preserve">Chaîne d'exploitation complète</w:t>
            </w:r>
          </w:p>
        </w:tc>
        <w:tc>
          <w:tcPr>
            <w:tcW w:type="pct" w:w="62%"/>
            <w:tcMar>
              <w:top w:type="dxa" w:w="80"/>
              <w:left w:type="dxa" w:w="100"/>
              <w:bottom w:type="dxa" w:w="80"/>
              <w:right w:type="dxa" w:w="100"/>
            </w:tcMar>
            <w:vAlign w:val="center"/>
          </w:tcPr>
          <w:p>
            <w:r>
              <w:rPr>
                <w:b w:val="false"/>
                <w:bCs w:val="false"/>
                <w:color w:val="1A1A1A"/>
                <w:sz w:val="19"/>
                <w:szCs w:val="19"/>
              </w:rPr>
              <w:t xml:space="preserve">Plusieurs failles mineures combinées en une faille critique</w:t>
            </w:r>
          </w:p>
        </w:tc>
      </w:tr>
      <w:tr>
        <w:tc>
          <w:tcPr>
            <w:tcW w:type="pct" w:w="38%"/>
            <w:tcMar>
              <w:top w:type="dxa" w:w="80"/>
              <w:left w:type="dxa" w:w="100"/>
              <w:bottom w:type="dxa" w:w="80"/>
              <w:right w:type="dxa" w:w="100"/>
            </w:tcMar>
            <w:vAlign w:val="center"/>
          </w:tcPr>
          <w:p>
            <w:r>
              <w:rPr>
                <w:b w:val="false"/>
                <w:bCs w:val="false"/>
                <w:color w:val="1A1A1A"/>
                <w:sz w:val="19"/>
                <w:szCs w:val="19"/>
              </w:rPr>
              <w:t xml:space="preserve">Vulnérabilité 0-day non documentée publiquement</w:t>
            </w:r>
          </w:p>
        </w:tc>
        <w:tc>
          <w:tcPr>
            <w:tcW w:type="pct" w:w="62%"/>
            <w:tcMar>
              <w:top w:type="dxa" w:w="80"/>
              <w:left w:type="dxa" w:w="100"/>
              <w:bottom w:type="dxa" w:w="80"/>
              <w:right w:type="dxa" w:w="100"/>
            </w:tcMar>
            <w:vAlign w:val="center"/>
          </w:tcPr>
          <w:p>
            <w:r>
              <w:rPr>
                <w:b w:val="false"/>
                <w:bCs w:val="false"/>
                <w:color w:val="1A1A1A"/>
                <w:sz w:val="19"/>
                <w:szCs w:val="19"/>
              </w:rPr>
              <w:t xml:space="preserve">Faille touchant un composant tiers largement utilisé, jamais signalée ailleurs</w:t>
            </w:r>
          </w:p>
        </w:tc>
      </w:tr>
    </w:tbl>
    <w:p>
      <w:pPr>
        <w:pStyle w:val="Heading1"/>
        <w:pBdr>
          <w:bottom w:val="single" w:color="1E2761" w:sz="6" w:space="4"/>
        </w:pBdr>
        <w:spacing w:after="200" w:before="420"/>
      </w:pPr>
      <w:r>
        <w:rPr>
          <w:b/>
          <w:bCs/>
          <w:color w:val="1E2761"/>
          <w:sz w:val="30"/>
          <w:szCs w:val="30"/>
        </w:rPr>
        <w:t xml:space="preserve">7. Chiffrer du texte (le champ « Rapport chiffré PGP »)</w:t>
      </w:r>
    </w:p>
    <w:p>
      <w:pPr>
        <w:pStyle w:val="ListParagraph"/>
        <w:numPr>
          <w:ilvl w:val="0"/>
          <w:numId w:val="4"/>
        </w:numPr>
        <w:spacing w:after="120"/>
      </w:pPr>
      <w:r>
        <w:rPr>
          <w:sz w:val="21"/>
          <w:szCs w:val="21"/>
        </w:rPr>
        <w:t xml:space="preserve">Ouvrir Kleopatra -&gt; "Signer / chiffrer" -&gt; Bloc-note</w:t>
      </w:r>
    </w:p>
    <w:p>
      <w:pPr>
        <w:pStyle w:val="ListParagraph"/>
        <w:numPr>
          <w:ilvl w:val="0"/>
          <w:numId w:val="4"/>
        </w:numPr>
        <w:spacing w:after="120"/>
      </w:pPr>
      <w:r>
        <w:rPr>
          <w:sz w:val="21"/>
          <w:szCs w:val="21"/>
        </w:rPr>
        <w:t xml:space="preserve">Ecrire (ou coller) tout le texte sensible, reuni en un seul document</w:t>
      </w:r>
    </w:p>
    <w:p>
      <w:pPr>
        <w:pStyle w:val="ListParagraph"/>
        <w:numPr>
          <w:ilvl w:val="0"/>
          <w:numId w:val="4"/>
        </w:numPr>
        <w:spacing w:after="120"/>
      </w:pPr>
      <w:r>
        <w:rPr>
          <w:sz w:val="21"/>
          <w:szCs w:val="21"/>
        </w:rPr>
        <w:t xml:space="preserve">Decocher "Chiffrer pour d'autres" si non necessaire, garder "Chiffrer pour moi" (ou choisir le destinataire voulu)</w:t>
      </w:r>
    </w:p>
    <w:p>
      <w:pPr>
        <w:pStyle w:val="ListParagraph"/>
        <w:numPr>
          <w:ilvl w:val="0"/>
          <w:numId w:val="4"/>
        </w:numPr>
        <w:spacing w:after="120"/>
      </w:pPr>
      <w:r>
        <w:rPr>
          <w:sz w:val="21"/>
          <w:szCs w:val="21"/>
        </w:rPr>
        <w:t xml:space="preserve">Cliquer "Chiffrer le bloc-note" -- le resultat (-----BEGIN PGP MESSAGE-----...) est copie</w:t>
      </w:r>
    </w:p>
    <w:p>
      <w:pPr>
        <w:pStyle w:val="ListParagraph"/>
        <w:numPr>
          <w:ilvl w:val="0"/>
          <w:numId w:val="4"/>
        </w:numPr>
        <w:spacing w:after="120"/>
      </w:pPr>
      <w:r>
        <w:rPr>
          <w:sz w:val="21"/>
          <w:szCs w:val="21"/>
        </w:rPr>
        <w:t xml:space="preserve">Coller ce bloc, integralement, dans le champ "Rapport chiffre PGP" du formulaire eVDP</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Un seul champ texte existe : si plusieurs notes sensibles sont necessaires, les reunir dans un seul document AVANT de chiffrer -- pas plusieurs chiffrements colles a la suite.</w:t>
      </w:r>
    </w:p>
    <w:p>
      <w:pPr>
        <w:pStyle w:val="Heading1"/>
        <w:pBdr>
          <w:bottom w:val="single" w:color="1E2761" w:sz="6" w:space="4"/>
        </w:pBdr>
        <w:spacing w:after="200" w:before="420"/>
      </w:pPr>
      <w:r>
        <w:rPr>
          <w:b/>
          <w:bCs/>
          <w:color w:val="1E2761"/>
          <w:sz w:val="30"/>
          <w:szCs w:val="30"/>
        </w:rPr>
        <w:t xml:space="preserve">8. Protéger une pièce jointe (fichier)</w:t>
      </w:r>
    </w:p>
    <w:p>
      <w:pPr>
        <w:pStyle w:val="ListParagraph"/>
        <w:numPr>
          <w:ilvl w:val="0"/>
          <w:numId w:val="5"/>
        </w:numPr>
        <w:spacing w:after="120"/>
      </w:pPr>
      <w:r>
        <w:rPr>
          <w:sz w:val="21"/>
          <w:szCs w:val="21"/>
        </w:rPr>
        <w:t xml:space="preserve">Clic droit sur le fichier sensible -&gt; Plus d'options GpgEX -&gt; Chiffrer (ou depuis Kleopatra : "Signer/chiffrer" -&gt; choisir un fichier)</w:t>
      </w:r>
    </w:p>
    <w:p>
      <w:pPr>
        <w:pStyle w:val="ListParagraph"/>
        <w:numPr>
          <w:ilvl w:val="0"/>
          <w:numId w:val="5"/>
        </w:numPr>
        <w:spacing w:after="120"/>
      </w:pPr>
      <w:r>
        <w:rPr>
          <w:sz w:val="21"/>
          <w:szCs w:val="21"/>
        </w:rPr>
        <w:t xml:space="preserve">Choisir le destinataire, cocher la sortie ASCII si l'option est proposee</w:t>
      </w:r>
    </w:p>
    <w:p>
      <w:pPr>
        <w:pStyle w:val="ListParagraph"/>
        <w:numPr>
          <w:ilvl w:val="0"/>
          <w:numId w:val="5"/>
        </w:numPr>
        <w:spacing w:after="120"/>
      </w:pPr>
      <w:r>
        <w:rPr>
          <w:sz w:val="21"/>
          <w:szCs w:val="21"/>
        </w:rPr>
        <w:t xml:space="preserve">Un nouveau fichier chiffre est cree a cote (ex. capture.png.asc)</w:t>
      </w:r>
    </w:p>
    <w:p>
      <w:pPr>
        <w:pStyle w:val="ListParagraph"/>
        <w:numPr>
          <w:ilvl w:val="0"/>
          <w:numId w:val="5"/>
        </w:numPr>
        <w:spacing w:after="120"/>
      </w:pPr>
      <w:r>
        <w:rPr>
          <w:sz w:val="21"/>
          <w:szCs w:val="21"/>
        </w:rPr>
        <w:t xml:space="preserve">Uploader UNIQUEMENT ce fichier chiffre dans la section "Pieces jointes" -- jamais l'original en clair a cote</w:t>
      </w:r>
    </w:p>
    <w:p>
      <w:pPr>
        <w:spacing w:after="160" w:line="300"/>
      </w:pPr>
      <w:r>
        <w:rPr>
          <w:color w:val="1A1A1A"/>
          <w:sz w:val="21"/>
          <w:szCs w:val="21"/>
        </w:rPr>
        <w:t xml:space="preserve">La plateforme detecte automatiquement un fichier ainsi chiffre (en-tete ET pied de page presents) et affiche un badge « 🔒 PGP » dans le dossier, visible par le CSIRT.</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Pour proteger plusieurs fichiers a la fois sans repeter l'operation, les regrouper d'abord dans un seul .zip, puis ne chiffrer QUE ce zip -- un seul fichier .zip.asc a deposer.</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Ce mecanisme ne couvre que le fichier depose tel quel. Un fichier chiffre en format binaire (sans armure ASCII) reste protege mais peut ne pas afficher le badge -- privilegier l'option "sortie ASCII" quand elle existe.</w:t>
      </w:r>
    </w:p>
    <w:p>
      <w:r>
        <w:br w:type="page"/>
      </w:r>
    </w:p>
    <w:p>
      <w:pPr>
        <w:pStyle w:val="Heading1"/>
        <w:pBdr>
          <w:bottom w:val="single" w:color="1E2761" w:sz="6" w:space="4"/>
        </w:pBdr>
        <w:spacing w:after="200" w:before="420"/>
      </w:pPr>
      <w:r>
        <w:rPr>
          <w:b/>
          <w:bCs/>
          <w:color w:val="1E2761"/>
          <w:sz w:val="30"/>
          <w:szCs w:val="30"/>
        </w:rPr>
        <w:t xml:space="preserve">9. La clé publique nationale</w:t>
      </w:r>
    </w:p>
    <w:p>
      <w:pPr>
        <w:spacing w:after="160" w:line="300"/>
      </w:pPr>
      <w:r>
        <w:rPr>
          <w:color w:val="1A1A1A"/>
          <w:sz w:val="21"/>
          <w:szCs w:val="21"/>
        </w:rPr>
        <w:t xml:space="preserve">Publiee sur la page /pgp-key.asc, accessible depuis le formulaire de signalement (carte "Signalement chiffre"). Configuree cote serveur via deux variables dans .env :</w:t>
      </w:r>
    </w:p>
    <w:p>
      <w:pPr>
        <w:shd w:fill="1E1E2E" w:val="clear"/>
        <w:spacing w:after="200" w:before="100"/>
        <w:ind w:left="100" w:right="100"/>
      </w:pPr>
      <w:r>
        <w:rPr>
          <w:rFonts w:ascii="Consolas" w:cs="Consolas" w:eastAsia="Consolas" w:hAnsi="Consolas"/>
          <w:color w:val="D4D4D4"/>
          <w:sz w:val="19"/>
          <w:szCs w:val="19"/>
        </w:rPr>
        <w:t xml:space="preserve">PGP_PUBLIC_KEY=&lt;bloc arme, sauts de ligne echappes en \n&gt;</w:t>
      </w:r>
      <w:r>
        <w:rPr>
          <w:rFonts w:ascii="Consolas" w:cs="Consolas" w:eastAsia="Consolas" w:hAnsi="Consolas"/>
          <w:color w:val="D4D4D4"/>
          <w:sz w:val="19"/>
          <w:szCs w:val="19"/>
        </w:rPr>
        <w:br/>
        <w:t xml:space="preserve">PGP_FINGERPRINT=&lt;empreinte sur une seule ligne, sans espaces&gt;</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Ces deux variables ne sont volontairement PAS modifiables depuis l'interface web -- seulement via un acces serveur (.env + redemarrage). Voir §11 pour la justification et la procedure de rotation.</w:t>
      </w:r>
    </w:p>
    <w:p>
      <w:pPr>
        <w:pStyle w:val="Heading1"/>
        <w:pBdr>
          <w:bottom w:val="single" w:color="1E2761" w:sz="6" w:space="4"/>
        </w:pBdr>
        <w:spacing w:after="200" w:before="420"/>
      </w:pPr>
      <w:r>
        <w:rPr>
          <w:b/>
          <w:bCs/>
          <w:color w:val="1E2761"/>
          <w:sz w:val="30"/>
          <w:szCs w:val="30"/>
        </w:rPr>
        <w:t xml:space="preserve">10. Déchiffrer, côté CSIRT</w:t>
      </w:r>
    </w:p>
    <w:p>
      <w:pPr>
        <w:pStyle w:val="ListParagraph"/>
        <w:numPr>
          <w:ilvl w:val="0"/>
          <w:numId w:val="6"/>
        </w:numPr>
        <w:spacing w:after="120"/>
      </w:pPr>
      <w:r>
        <w:rPr>
          <w:sz w:val="21"/>
          <w:szCs w:val="21"/>
        </w:rPr>
        <w:t xml:space="preserve">Ouvrir le dossier concerne sur eVDP, copier le "Bloc PGP chiffre" affiche (ou telecharger la piece jointe chiffree)</w:t>
      </w:r>
    </w:p>
    <w:p>
      <w:pPr>
        <w:pStyle w:val="ListParagraph"/>
        <w:numPr>
          <w:ilvl w:val="0"/>
          <w:numId w:val="6"/>
        </w:numPr>
        <w:spacing w:after="120"/>
      </w:pPr>
      <w:r>
        <w:rPr>
          <w:sz w:val="21"/>
          <w:szCs w:val="21"/>
        </w:rPr>
        <w:t xml:space="preserve">Dans Kleopatra : "Dechiffrer / verifier" (fichier) ou le Bloc-note -&gt; coller le bloc copie</w:t>
      </w:r>
    </w:p>
    <w:p>
      <w:pPr>
        <w:pStyle w:val="ListParagraph"/>
        <w:numPr>
          <w:ilvl w:val="0"/>
          <w:numId w:val="6"/>
        </w:numPr>
        <w:spacing w:after="120"/>
      </w:pPr>
      <w:r>
        <w:rPr>
          <w:sz w:val="21"/>
          <w:szCs w:val="21"/>
        </w:rPr>
        <w:t xml:space="preserve">Cliquer "Dechiffrer"</w:t>
      </w:r>
    </w:p>
    <w:p>
      <w:pPr>
        <w:pStyle w:val="ListParagraph"/>
        <w:numPr>
          <w:ilvl w:val="0"/>
          <w:numId w:val="6"/>
        </w:numPr>
        <w:spacing w:after="120"/>
      </w:pPr>
      <w:r>
        <w:rPr>
          <w:sz w:val="21"/>
          <w:szCs w:val="21"/>
        </w:rPr>
        <w:t xml:space="preserve">Entrer sa phrase secrete quand elle est demandee</w:t>
      </w:r>
    </w:p>
    <w:p>
      <w:pPr>
        <w:pStyle w:val="ListParagraph"/>
        <w:numPr>
          <w:ilvl w:val="0"/>
          <w:numId w:val="6"/>
        </w:numPr>
        <w:spacing w:after="120"/>
      </w:pPr>
      <w:r>
        <w:rPr>
          <w:sz w:val="21"/>
          <w:szCs w:val="21"/>
        </w:rPr>
        <w:t xml:space="preserve">Le contenu original apparait en clair, uniquement sur cette machine, jamais renvoye a eVDP</w:t>
      </w:r>
    </w:p>
    <w:p>
      <w:pPr>
        <w:pStyle w:val="Heading1"/>
        <w:pBdr>
          <w:bottom w:val="single" w:color="1E2761" w:sz="6" w:space="4"/>
        </w:pBdr>
        <w:spacing w:after="200" w:before="420"/>
      </w:pPr>
      <w:r>
        <w:rPr>
          <w:b/>
          <w:bCs/>
          <w:color w:val="1E2761"/>
          <w:sz w:val="30"/>
          <w:szCs w:val="30"/>
        </w:rPr>
        <w:t xml:space="preserve">11. Qui peut changer la clé nationale, et comment</w:t>
      </w:r>
    </w:p>
    <w:p>
      <w:pPr>
        <w:spacing w:after="160" w:line="300"/>
      </w:pPr>
      <w:r>
        <w:rPr>
          <w:color w:val="1A1A1A"/>
          <w:sz w:val="21"/>
          <w:szCs w:val="21"/>
        </w:rPr>
        <w:t xml:space="preserve">Uniquement quelqu'un avec un acces serveur -- edition de .env puis docker compose up -d. Ce n'est pas une lacune : rendre ce champ modifiable depuis un simple formulaire admin degraderait la securite (un seul compte Coordinateur compromis suffirait alors a substituer la cle nationale et intercepter tous les signalements suivants).</w:t>
      </w:r>
    </w:p>
    <w:p>
      <w:pPr>
        <w:spacing w:after="160" w:line="300"/>
      </w:pPr>
      <w:r>
        <w:rPr>
          <w:color w:val="1A1A1A"/>
          <w:sz w:val="21"/>
          <w:szCs w:val="21"/>
        </w:rPr>
        <w:t xml:space="preserve">Procedure recommandee en cas de rotation (expiration, suspicion de compromission) : documentee dans docs/deployment.md §10 -- generation anticipee, communication de la nouvelle empreinte par un canal independant d'eVDP, bascule technique, conservation de l'ancienne cle privee tant que d'anciens signalements pourraient necessiter un dechiffrement.</w:t>
      </w:r>
    </w:p>
    <w:p>
      <w:r>
        <w:br w:type="page"/>
      </w:r>
    </w:p>
    <w:p>
      <w:pPr>
        <w:pStyle w:val="Heading1"/>
        <w:pBdr>
          <w:bottom w:val="single" w:color="1E2761" w:sz="6" w:space="4"/>
        </w:pBdr>
        <w:spacing w:after="200" w:before="420"/>
      </w:pPr>
      <w:r>
        <w:rPr>
          <w:b/>
          <w:bCs/>
          <w:color w:val="1E2761"/>
          <w:sz w:val="30"/>
          <w:szCs w:val="30"/>
        </w:rPr>
        <w:t xml:space="preserve">12. Comparaison avec les plateformes professionnelles existantes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Critère</w:t>
            </w:r>
          </w:p>
        </w:tc>
        <w:tc>
          <w:tcPr>
            <w:tcW w:type="pct" w:w="24%"/>
            <w:shd w:fill="1E2761" w:val="clear"/>
            <w:tcMar>
              <w:top w:type="dxa" w:w="80"/>
              <w:left w:type="dxa" w:w="100"/>
              <w:bottom w:type="dxa" w:w="80"/>
              <w:right w:type="dxa" w:w="100"/>
            </w:tcMar>
            <w:vAlign w:val="center"/>
          </w:tcPr>
          <w:p>
            <w:r>
              <w:rPr>
                <w:b/>
                <w:bCs/>
                <w:color w:val="FFFFFF"/>
                <w:sz w:val="19"/>
                <w:szCs w:val="19"/>
              </w:rPr>
              <w:t xml:space="preserve">Modèle commercial</w:t>
            </w:r>
          </w:p>
          <w:p>
            <w:pPr>
              <w:spacing w:before="60"/>
            </w:pPr>
            <w:r>
              <w:rPr>
                <w:b/>
                <w:bCs/>
                <w:color w:val="FFFFFF"/>
                <w:sz w:val="19"/>
                <w:szCs w:val="19"/>
              </w:rPr>
              <w:t xml:space="preserve">(HackerOne, Bugcrowd...)</w:t>
            </w:r>
          </w:p>
        </w:tc>
        <w:tc>
          <w:tcPr>
            <w:tcW w:type="pct" w:w="24%"/>
            <w:shd w:fill="1E2761" w:val="clear"/>
            <w:tcMar>
              <w:top w:type="dxa" w:w="80"/>
              <w:left w:type="dxa" w:w="100"/>
              <w:bottom w:type="dxa" w:w="80"/>
              <w:right w:type="dxa" w:w="100"/>
            </w:tcMar>
            <w:vAlign w:val="center"/>
          </w:tcPr>
          <w:p>
            <w:r>
              <w:rPr>
                <w:b/>
                <w:bCs/>
                <w:color w:val="FFFFFF"/>
                <w:sz w:val="19"/>
                <w:szCs w:val="19"/>
              </w:rPr>
              <w:t xml:space="preserve">Modèle CERT pur</w:t>
            </w:r>
          </w:p>
          <w:p>
            <w:pPr>
              <w:spacing w:before="60"/>
            </w:pPr>
            <w:r>
              <w:rPr>
                <w:b/>
                <w:bCs/>
                <w:color w:val="FFFFFF"/>
                <w:sz w:val="19"/>
                <w:szCs w:val="19"/>
              </w:rPr>
              <w:t xml:space="preserve">(email PGP classique)</w:t>
            </w:r>
          </w:p>
        </w:tc>
        <w:tc>
          <w:tcPr>
            <w:tcW w:type="pct" w:w="22%"/>
            <w:shd w:fill="1E2761" w:val="clear"/>
            <w:tcMar>
              <w:top w:type="dxa" w:w="80"/>
              <w:left w:type="dxa" w:w="100"/>
              <w:bottom w:type="dxa" w:w="80"/>
              <w:right w:type="dxa" w:w="100"/>
            </w:tcMar>
            <w:vAlign w:val="center"/>
          </w:tcPr>
          <w:p>
            <w:r>
              <w:rPr>
                <w:b/>
                <w:bCs/>
                <w:color w:val="FFFFFF"/>
                <w:sz w:val="19"/>
                <w:szCs w:val="19"/>
              </w:rPr>
              <w:t xml:space="preserve">eVDP</w:t>
            </w:r>
          </w:p>
        </w:tc>
      </w:tr>
      <w:tr>
        <w:tc>
          <w:tcPr>
            <w:tcW w:type="pct" w:w="30%"/>
            <w:tcMar>
              <w:top w:type="dxa" w:w="80"/>
              <w:left w:type="dxa" w:w="100"/>
              <w:bottom w:type="dxa" w:w="80"/>
              <w:right w:type="dxa" w:w="100"/>
            </w:tcMar>
            <w:vAlign w:val="center"/>
          </w:tcPr>
          <w:p>
            <w:r>
              <w:rPr>
                <w:b w:val="false"/>
                <w:bCs w:val="false"/>
                <w:color w:val="1A1A1A"/>
                <w:sz w:val="19"/>
                <w:szCs w:val="19"/>
              </w:rPr>
              <w:t xml:space="preserve">Confidentialité réelle face au serveur lui-même</w:t>
            </w:r>
          </w:p>
        </w:tc>
        <w:tc>
          <w:tcPr>
            <w:tcW w:type="pct" w:w="24%"/>
            <w:tcMar>
              <w:top w:type="dxa" w:w="80"/>
              <w:left w:type="dxa" w:w="100"/>
              <w:bottom w:type="dxa" w:w="80"/>
              <w:right w:type="dxa" w:w="100"/>
            </w:tcMar>
            <w:vAlign w:val="center"/>
          </w:tcPr>
          <w:p>
            <w:r>
              <w:rPr>
                <w:b w:val="false"/>
                <w:bCs w:val="false"/>
                <w:color w:val="1A1A1A"/>
                <w:sz w:val="19"/>
                <w:szCs w:val="19"/>
              </w:rPr>
              <w:t xml:space="preserve">Non (tiers de confiance)</w:t>
            </w:r>
          </w:p>
        </w:tc>
        <w:tc>
          <w:tcPr>
            <w:tcW w:type="pct" w:w="24%"/>
            <w:tcMar>
              <w:top w:type="dxa" w:w="80"/>
              <w:left w:type="dxa" w:w="100"/>
              <w:bottom w:type="dxa" w:w="80"/>
              <w:right w:type="dxa" w:w="100"/>
            </w:tcMar>
            <w:vAlign w:val="center"/>
          </w:tcPr>
          <w:p>
            <w:r>
              <w:rPr>
                <w:b w:val="false"/>
                <w:bCs w:val="false"/>
                <w:color w:val="1A1A1A"/>
                <w:sz w:val="19"/>
                <w:szCs w:val="19"/>
              </w:rPr>
              <w:t xml:space="preserve">Oui (tout le message)</w:t>
            </w:r>
          </w:p>
        </w:tc>
        <w:tc>
          <w:tcPr>
            <w:tcW w:type="pct" w:w="22%"/>
            <w:tcMar>
              <w:top w:type="dxa" w:w="80"/>
              <w:left w:type="dxa" w:w="100"/>
              <w:bottom w:type="dxa" w:w="80"/>
              <w:right w:type="dxa" w:w="100"/>
            </w:tcMar>
            <w:vAlign w:val="center"/>
          </w:tcPr>
          <w:p>
            <w:r>
              <w:rPr>
                <w:b w:val="false"/>
                <w:bCs w:val="false"/>
                <w:color w:val="1A1A1A"/>
                <w:sz w:val="19"/>
                <w:szCs w:val="19"/>
              </w:rPr>
              <w:t xml:space="preserve">Oui (le contenu vraiment sensible)</w:t>
            </w:r>
          </w:p>
        </w:tc>
      </w:tr>
      <w:tr>
        <w:tc>
          <w:tcPr>
            <w:tcW w:type="pct" w:w="30%"/>
            <w:tcMar>
              <w:top w:type="dxa" w:w="80"/>
              <w:left w:type="dxa" w:w="100"/>
              <w:bottom w:type="dxa" w:w="80"/>
              <w:right w:type="dxa" w:w="100"/>
            </w:tcMar>
            <w:vAlign w:val="center"/>
          </w:tcPr>
          <w:p>
            <w:r>
              <w:rPr>
                <w:b w:val="false"/>
                <w:bCs w:val="false"/>
                <w:color w:val="1A1A1A"/>
                <w:sz w:val="19"/>
                <w:szCs w:val="19"/>
              </w:rPr>
              <w:t xml:space="preserve">Triage/priorisation possible sans déchiffrer</w:t>
            </w:r>
          </w:p>
        </w:tc>
        <w:tc>
          <w:tcPr>
            <w:tcW w:type="pct" w:w="24%"/>
            <w:tcMar>
              <w:top w:type="dxa" w:w="80"/>
              <w:left w:type="dxa" w:w="100"/>
              <w:bottom w:type="dxa" w:w="80"/>
              <w:right w:type="dxa" w:w="100"/>
            </w:tcMar>
            <w:vAlign w:val="center"/>
          </w:tcPr>
          <w:p>
            <w:r>
              <w:rPr>
                <w:b w:val="false"/>
                <w:bCs w:val="false"/>
                <w:color w:val="1A1A1A"/>
                <w:sz w:val="19"/>
                <w:szCs w:val="19"/>
              </w:rPr>
              <w:t xml:space="preserve">Oui</w:t>
            </w:r>
          </w:p>
        </w:tc>
        <w:tc>
          <w:tcPr>
            <w:tcW w:type="pct" w:w="24%"/>
            <w:tcMar>
              <w:top w:type="dxa" w:w="80"/>
              <w:left w:type="dxa" w:w="100"/>
              <w:bottom w:type="dxa" w:w="80"/>
              <w:right w:type="dxa" w:w="100"/>
            </w:tcMar>
            <w:vAlign w:val="center"/>
          </w:tcPr>
          <w:p>
            <w:r>
              <w:rPr>
                <w:b w:val="false"/>
                <w:bCs w:val="false"/>
                <w:color w:val="1A1A1A"/>
                <w:sz w:val="19"/>
                <w:szCs w:val="19"/>
              </w:rPr>
              <w:t xml:space="preserve">Non -- il faut ouvrir chaque email chiffré pour savoir de quoi il s'agit</w:t>
            </w:r>
          </w:p>
        </w:tc>
        <w:tc>
          <w:tcPr>
            <w:tcW w:type="pct" w:w="22%"/>
            <w:tcMar>
              <w:top w:type="dxa" w:w="80"/>
              <w:left w:type="dxa" w:w="100"/>
              <w:bottom w:type="dxa" w:w="80"/>
              <w:right w:type="dxa" w:w="100"/>
            </w:tcMar>
            <w:vAlign w:val="center"/>
          </w:tcPr>
          <w:p>
            <w:r>
              <w:rPr>
                <w:b w:val="false"/>
                <w:bCs w:val="false"/>
                <w:color w:val="1A1A1A"/>
                <w:sz w:val="19"/>
                <w:szCs w:val="19"/>
              </w:rPr>
              <w:t xml:space="preserve">Oui -- métadonnées en clair, contenu dangereux à part</w:t>
            </w:r>
          </w:p>
        </w:tc>
      </w:tr>
      <w:tr>
        <w:tc>
          <w:tcPr>
            <w:tcW w:type="pct" w:w="30%"/>
            <w:tcMar>
              <w:top w:type="dxa" w:w="80"/>
              <w:left w:type="dxa" w:w="100"/>
              <w:bottom w:type="dxa" w:w="80"/>
              <w:right w:type="dxa" w:w="100"/>
            </w:tcMar>
            <w:vAlign w:val="center"/>
          </w:tcPr>
          <w:p>
            <w:r>
              <w:rPr>
                <w:b w:val="false"/>
                <w:bCs w:val="false"/>
                <w:color w:val="1A1A1A"/>
                <w:sz w:val="19"/>
                <w:szCs w:val="19"/>
              </w:rPr>
              <w:t xml:space="preserve">Adapté à un contexte où on ne veut faire confiance à personne, même son propre hébergeur</w:t>
            </w:r>
          </w:p>
        </w:tc>
        <w:tc>
          <w:tcPr>
            <w:tcW w:type="pct" w:w="24%"/>
            <w:tcMar>
              <w:top w:type="dxa" w:w="80"/>
              <w:left w:type="dxa" w:w="100"/>
              <w:bottom w:type="dxa" w:w="80"/>
              <w:right w:type="dxa" w:w="100"/>
            </w:tcMar>
            <w:vAlign w:val="center"/>
          </w:tcPr>
          <w:p>
            <w:r>
              <w:rPr>
                <w:b w:val="false"/>
                <w:bCs w:val="false"/>
                <w:color w:val="1A1A1A"/>
                <w:sz w:val="19"/>
                <w:szCs w:val="19"/>
              </w:rPr>
              <w:t xml:space="preserve">Non</w:t>
            </w:r>
          </w:p>
        </w:tc>
        <w:tc>
          <w:tcPr>
            <w:tcW w:type="pct" w:w="24%"/>
            <w:tcMar>
              <w:top w:type="dxa" w:w="80"/>
              <w:left w:type="dxa" w:w="100"/>
              <w:bottom w:type="dxa" w:w="80"/>
              <w:right w:type="dxa" w:w="100"/>
            </w:tcMar>
            <w:vAlign w:val="center"/>
          </w:tcPr>
          <w:p>
            <w:r>
              <w:rPr>
                <w:b w:val="false"/>
                <w:bCs w:val="false"/>
                <w:color w:val="1A1A1A"/>
                <w:sz w:val="19"/>
                <w:szCs w:val="19"/>
              </w:rPr>
              <w:t xml:space="preserve">Oui</w:t>
            </w:r>
          </w:p>
        </w:tc>
        <w:tc>
          <w:tcPr>
            <w:tcW w:type="pct" w:w="22%"/>
            <w:tcMar>
              <w:top w:type="dxa" w:w="80"/>
              <w:left w:type="dxa" w:w="100"/>
              <w:bottom w:type="dxa" w:w="80"/>
              <w:right w:type="dxa" w:w="100"/>
            </w:tcMar>
            <w:vAlign w:val="center"/>
          </w:tcPr>
          <w:p>
            <w:r>
              <w:rPr>
                <w:b w:val="false"/>
                <w:bCs w:val="false"/>
                <w:color w:val="1A1A1A"/>
                <w:sz w:val="19"/>
                <w:szCs w:val="19"/>
              </w:rPr>
              <w:t xml:space="preserve">Oui</w:t>
            </w:r>
          </w:p>
        </w:tc>
      </w:tr>
    </w:tbl>
    <w:p>
      <w:pPr>
        <w:spacing w:after="160" w:line="300"/>
      </w:pPr>
      <w:r>
        <w:rPr>
          <w:color w:val="1A1A1A"/>
          <w:sz w:val="21"/>
          <w:szCs w:val="21"/>
        </w:rPr>
        <w:t xml:space="preserve">Verdict : l'architecture d'eVDP -- metadonnees en clair pour le triage, contenu dangereux chiffre a part -- est un choix solide, et meme en avance sur la pratique CERT classique. Le modele CERT pur (tout chiffre dans un seul email) souffre d'un vrai defaut operationnel que beaucoup de CERT reels subissent : impossible de trier, prioriser ou construire un tableau de bord sans ouvrir individuellement chaque message chiffre. eVDP corrige cela en separant metadonnees (triage) et contenu dangereux (chiffre) -- un gain reel, pas cosmetique. Face au modele commercial : pour une plateforme traitant des failles sur des systemes gouvernementaux, faire une confiance aveugle au serveur (meme le sien) n'est pas approprie -- le risque d'un admin malveillant, d'une sauvegarde volee ou d'une infrastructure compromise est justement ce qu'un CSIRT national ne veut jamais avoir a gerer apres coup.</w:t>
      </w:r>
    </w:p>
    <w:p>
      <w:pPr>
        <w:pStyle w:val="Heading1"/>
        <w:pBdr>
          <w:bottom w:val="single" w:color="1E2761" w:sz="6" w:space="4"/>
        </w:pBdr>
        <w:spacing w:after="200" w:before="420"/>
      </w:pPr>
      <w:r>
        <w:rPr>
          <w:b/>
          <w:bCs/>
          <w:color w:val="1E2761"/>
          <w:sz w:val="30"/>
          <w:szCs w:val="30"/>
        </w:rPr>
        <w:t xml:space="preserve">13. Limites connues du système</w:t>
      </w:r>
    </w:p>
    <w:p>
      <w:pPr>
        <w:spacing w:after="160" w:line="300"/>
      </w:pPr>
      <w:r>
        <w:rPr>
          <w:color w:val="1A1A1A"/>
          <w:sz w:val="21"/>
          <w:szCs w:val="21"/>
        </w:rPr>
        <w:t xml:space="preserve">Ce qui suit ne remet pas en cause l'architecture (voir §12) -- ce sont des ecarts de maturite operationnelle, le genre de sujet normal pour un projet a ce stade (demonstration ELITE IT 2026) avant une vraie mise en production nationale.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1E2761" w:val="clear"/>
            <w:tcMar>
              <w:top w:type="dxa" w:w="80"/>
              <w:left w:type="dxa" w:w="100"/>
              <w:bottom w:type="dxa" w:w="80"/>
              <w:right w:type="dxa" w:w="100"/>
            </w:tcMar>
            <w:vAlign w:val="center"/>
          </w:tcPr>
          <w:p>
            <w:r>
              <w:rPr>
                <w:b/>
                <w:bCs/>
                <w:color w:val="FFFFFF"/>
                <w:sz w:val="19"/>
                <w:szCs w:val="19"/>
              </w:rPr>
              <w:t xml:space="preserve">Limite</w:t>
            </w:r>
          </w:p>
        </w:tc>
        <w:tc>
          <w:tcPr>
            <w:tcW w:type="pct" w:w="60%"/>
            <w:shd w:fill="1E2761" w:val="clear"/>
            <w:tcMar>
              <w:top w:type="dxa" w:w="80"/>
              <w:left w:type="dxa" w:w="100"/>
              <w:bottom w:type="dxa" w:w="80"/>
              <w:right w:type="dxa" w:w="100"/>
            </w:tcMar>
            <w:vAlign w:val="center"/>
          </w:tcPr>
          <w:p>
            <w:r>
              <w:rPr>
                <w:b/>
                <w:bCs/>
                <w:color w:val="FFFFFF"/>
                <w:sz w:val="19"/>
                <w:szCs w:val="19"/>
              </w:rPr>
              <w:t xml:space="preserve">Explication</w:t>
            </w:r>
          </w:p>
        </w:tc>
      </w:tr>
      <w:tr>
        <w:tc>
          <w:tcPr>
            <w:tcW w:type="pct" w:w="40%"/>
            <w:tcMar>
              <w:top w:type="dxa" w:w="80"/>
              <w:left w:type="dxa" w:w="100"/>
              <w:bottom w:type="dxa" w:w="80"/>
              <w:right w:type="dxa" w:w="100"/>
            </w:tcMar>
            <w:vAlign w:val="center"/>
          </w:tcPr>
          <w:p>
            <w:r>
              <w:rPr>
                <w:b w:val="false"/>
                <w:bCs w:val="false"/>
                <w:color w:val="1A1A1A"/>
                <w:sz w:val="19"/>
                <w:szCs w:val="19"/>
              </w:rPr>
              <w:t xml:space="preserve">Pas de vérification que le contenu se déchiffre réellement</w:t>
            </w:r>
          </w:p>
        </w:tc>
        <w:tc>
          <w:tcPr>
            <w:tcW w:type="pct" w:w="60%"/>
            <w:tcMar>
              <w:top w:type="dxa" w:w="80"/>
              <w:left w:type="dxa" w:w="100"/>
              <w:bottom w:type="dxa" w:w="80"/>
              <w:right w:type="dxa" w:w="100"/>
            </w:tcMar>
            <w:vAlign w:val="center"/>
          </w:tcPr>
          <w:p>
            <w:r>
              <w:rPr>
                <w:b w:val="false"/>
                <w:bCs w:val="false"/>
                <w:color w:val="1A1A1A"/>
                <w:sz w:val="19"/>
                <w:szCs w:val="19"/>
              </w:rPr>
              <w:t xml:space="preserve">is_encrypted_blob() ne contrôle que la forme (en-tête/pied de page), jamais que le bloc correspond vraiment à la bonne clé</w:t>
            </w:r>
          </w:p>
        </w:tc>
      </w:tr>
      <w:tr>
        <w:tc>
          <w:tcPr>
            <w:tcW w:type="pct" w:w="40%"/>
            <w:tcMar>
              <w:top w:type="dxa" w:w="80"/>
              <w:left w:type="dxa" w:w="100"/>
              <w:bottom w:type="dxa" w:w="80"/>
              <w:right w:type="dxa" w:w="100"/>
            </w:tcMar>
            <w:vAlign w:val="center"/>
          </w:tcPr>
          <w:p>
            <w:r>
              <w:rPr>
                <w:b w:val="false"/>
                <w:bCs w:val="false"/>
                <w:color w:val="1A1A1A"/>
                <w:sz w:val="19"/>
                <w:szCs w:val="19"/>
              </w:rPr>
              <w:t xml:space="preserve">Une seule clé privée, un seul point de défaillance</w:t>
            </w:r>
          </w:p>
        </w:tc>
        <w:tc>
          <w:tcPr>
            <w:tcW w:type="pct" w:w="60%"/>
            <w:tcMar>
              <w:top w:type="dxa" w:w="80"/>
              <w:left w:type="dxa" w:w="100"/>
              <w:bottom w:type="dxa" w:w="80"/>
              <w:right w:type="dxa" w:w="100"/>
            </w:tcMar>
            <w:vAlign w:val="center"/>
          </w:tcPr>
          <w:p>
            <w:r>
              <w:rPr>
                <w:b w:val="false"/>
                <w:bCs w:val="false"/>
                <w:color w:val="1A1A1A"/>
                <w:sz w:val="19"/>
                <w:szCs w:val="19"/>
              </w:rPr>
              <w:t xml:space="preserve">Si l'ordinateur qui la détient est compromis, tous les signalements chiffrés (passés et futurs) deviennent lisibles d'un coup</w:t>
            </w:r>
          </w:p>
        </w:tc>
      </w:tr>
      <w:tr>
        <w:tc>
          <w:tcPr>
            <w:tcW w:type="pct" w:w="40%"/>
            <w:tcMar>
              <w:top w:type="dxa" w:w="80"/>
              <w:left w:type="dxa" w:w="100"/>
              <w:bottom w:type="dxa" w:w="80"/>
              <w:right w:type="dxa" w:w="100"/>
            </w:tcMar>
            <w:vAlign w:val="center"/>
          </w:tcPr>
          <w:p>
            <w:r>
              <w:rPr>
                <w:b w:val="false"/>
                <w:bCs w:val="false"/>
                <w:color w:val="1A1A1A"/>
                <w:sz w:val="19"/>
                <w:szCs w:val="19"/>
              </w:rPr>
              <w:t xml:space="preserve">Pas de « forward secrecy » (propriété inhérente à PGP)</w:t>
            </w:r>
          </w:p>
        </w:tc>
        <w:tc>
          <w:tcPr>
            <w:tcW w:type="pct" w:w="60%"/>
            <w:tcMar>
              <w:top w:type="dxa" w:w="80"/>
              <w:left w:type="dxa" w:w="100"/>
              <w:bottom w:type="dxa" w:w="80"/>
              <w:right w:type="dxa" w:w="100"/>
            </w:tcMar>
            <w:vAlign w:val="center"/>
          </w:tcPr>
          <w:p>
            <w:r>
              <w:rPr>
                <w:b w:val="false"/>
                <w:bCs w:val="false"/>
                <w:color w:val="1A1A1A"/>
                <w:sz w:val="19"/>
                <w:szCs w:val="19"/>
              </w:rPr>
              <w:t xml:space="preserve">Une compromission future de la clé privée permet de déchiffrer rétroactivement tout l'historique</w:t>
            </w:r>
          </w:p>
        </w:tc>
      </w:tr>
      <w:tr>
        <w:tc>
          <w:tcPr>
            <w:tcW w:type="pct" w:w="40%"/>
            <w:tcMar>
              <w:top w:type="dxa" w:w="80"/>
              <w:left w:type="dxa" w:w="100"/>
              <w:bottom w:type="dxa" w:w="80"/>
              <w:right w:type="dxa" w:w="100"/>
            </w:tcMar>
            <w:vAlign w:val="center"/>
          </w:tcPr>
          <w:p>
            <w:r>
              <w:rPr>
                <w:b w:val="false"/>
                <w:bCs w:val="false"/>
                <w:color w:val="1A1A1A"/>
                <w:sz w:val="19"/>
                <w:szCs w:val="19"/>
              </w:rPr>
              <w:t xml:space="preserve">Pas de canal indépendant pour vérifier la clé publiée</w:t>
            </w:r>
          </w:p>
        </w:tc>
        <w:tc>
          <w:tcPr>
            <w:tcW w:type="pct" w:w="60%"/>
            <w:tcMar>
              <w:top w:type="dxa" w:w="80"/>
              <w:left w:type="dxa" w:w="100"/>
              <w:bottom w:type="dxa" w:w="80"/>
              <w:right w:type="dxa" w:w="100"/>
            </w:tcMar>
            <w:vAlign w:val="center"/>
          </w:tcPr>
          <w:p>
            <w:r>
              <w:rPr>
                <w:b w:val="false"/>
                <w:bCs w:val="false"/>
                <w:color w:val="1A1A1A"/>
                <w:sz w:val="19"/>
                <w:szCs w:val="19"/>
              </w:rPr>
              <w:t xml:space="preserve">L'empreinte n'est vérifiable que via eVDP lui-même, sauf publication complémentaire ailleurs</w:t>
            </w:r>
          </w:p>
        </w:tc>
      </w:tr>
      <w:tr>
        <w:tc>
          <w:tcPr>
            <w:tcW w:type="pct" w:w="40%"/>
            <w:tcMar>
              <w:top w:type="dxa" w:w="80"/>
              <w:left w:type="dxa" w:w="100"/>
              <w:bottom w:type="dxa" w:w="80"/>
              <w:right w:type="dxa" w:w="100"/>
            </w:tcMar>
            <w:vAlign w:val="center"/>
          </w:tcPr>
          <w:p>
            <w:r>
              <w:rPr>
                <w:b w:val="false"/>
                <w:bCs w:val="false"/>
                <w:color w:val="1A1A1A"/>
                <w:sz w:val="19"/>
                <w:szCs w:val="19"/>
              </w:rPr>
              <w:t xml:space="preserve">Les métadonnées fuient quand même</w:t>
            </w:r>
          </w:p>
        </w:tc>
        <w:tc>
          <w:tcPr>
            <w:tcW w:type="pct" w:w="60%"/>
            <w:tcMar>
              <w:top w:type="dxa" w:w="80"/>
              <w:left w:type="dxa" w:w="100"/>
              <w:bottom w:type="dxa" w:w="80"/>
              <w:right w:type="dxa" w:w="100"/>
            </w:tcMar>
            <w:vAlign w:val="center"/>
          </w:tcPr>
          <w:p>
            <w:r>
              <w:rPr>
                <w:b w:val="false"/>
                <w:bCs w:val="false"/>
                <w:color w:val="1A1A1A"/>
                <w:sz w:val="19"/>
                <w:szCs w:val="19"/>
              </w:rPr>
              <w:t xml:space="preserve">Titre, sévérité, organisation visée restent en clair même sur un rapport entièrement chiffré</w:t>
            </w:r>
          </w:p>
        </w:tc>
      </w:tr>
      <w:tr>
        <w:tc>
          <w:tcPr>
            <w:tcW w:type="pct" w:w="40%"/>
            <w:tcMar>
              <w:top w:type="dxa" w:w="80"/>
              <w:left w:type="dxa" w:w="100"/>
              <w:bottom w:type="dxa" w:w="80"/>
              <w:right w:type="dxa" w:w="100"/>
            </w:tcMar>
            <w:vAlign w:val="center"/>
          </w:tcPr>
          <w:p>
            <w:r>
              <w:rPr>
                <w:b w:val="false"/>
                <w:bCs w:val="false"/>
                <w:color w:val="1A1A1A"/>
                <w:sz w:val="19"/>
                <w:szCs w:val="19"/>
              </w:rPr>
              <w:t xml:space="preserve">Rien n'incite ni ne force l'usage du PGP</w:t>
            </w:r>
          </w:p>
        </w:tc>
        <w:tc>
          <w:tcPr>
            <w:tcW w:type="pct" w:w="60%"/>
            <w:tcMar>
              <w:top w:type="dxa" w:w="80"/>
              <w:left w:type="dxa" w:w="100"/>
              <w:bottom w:type="dxa" w:w="80"/>
              <w:right w:type="dxa" w:w="100"/>
            </w:tcMar>
            <w:vAlign w:val="center"/>
          </w:tcPr>
          <w:p>
            <w:r>
              <w:rPr>
                <w:b w:val="false"/>
                <w:bCs w:val="false"/>
                <w:color w:val="1A1A1A"/>
                <w:sz w:val="19"/>
                <w:szCs w:val="19"/>
              </w:rPr>
              <w:t xml:space="preserve">Mécanisme 100% laissé au jugement du déclarant, aucune alerte automatique</w:t>
            </w:r>
          </w:p>
        </w:tc>
      </w:tr>
    </w:tbl>
    <w:p>
      <w:r>
        <w:br w:type="page"/>
      </w:r>
    </w:p>
    <w:p>
      <w:pPr>
        <w:pStyle w:val="Heading1"/>
        <w:pBdr>
          <w:bottom w:val="single" w:color="1E2761" w:sz="6" w:space="4"/>
        </w:pBdr>
        <w:spacing w:after="200" w:before="420"/>
      </w:pPr>
      <w:r>
        <w:rPr>
          <w:b/>
          <w:bCs/>
          <w:color w:val="1E2761"/>
          <w:sz w:val="30"/>
          <w:szCs w:val="30"/>
        </w:rPr>
        <w:t xml:space="preserve">14. Pistes d'amélioration pour les trois limites principales</w:t>
      </w:r>
    </w:p>
    <w:p>
      <w:pPr>
        <w:pStyle w:val="Heading2"/>
        <w:spacing w:after="130" w:before="320"/>
      </w:pPr>
      <w:r>
        <w:rPr>
          <w:b/>
          <w:bCs/>
          <w:color w:val="3B4A9E"/>
          <w:sz w:val="24"/>
          <w:szCs w:val="24"/>
        </w:rPr>
        <w:t xml:space="preserve">14.1 -- Une seule clé privée, sans répartition</w:t>
      </w:r>
    </w:p>
    <w:p>
      <w:pPr>
        <w:spacing w:after="160" w:line="300"/>
      </w:pPr>
      <w:r>
        <w:rPr>
          <w:color w:val="1A1A1A"/>
          <w:sz w:val="21"/>
          <w:szCs w:val="21"/>
        </w:rPr>
        <w:t xml:space="preserve">Solutions envisageables, de la plus simple a la plus robuste :</w:t>
      </w:r>
    </w:p>
    <w:p>
      <w:pPr>
        <w:pStyle w:val="ListParagraph"/>
        <w:numPr>
          <w:ilvl w:val="0"/>
          <w:numId w:val="1"/>
        </w:numPr>
        <w:spacing w:after="80"/>
      </w:pPr>
      <w:r>
        <w:rPr>
          <w:sz w:val="21"/>
          <w:szCs w:val="21"/>
        </w:rPr>
        <w:t xml:space="preserve">Plusieurs destinataires plutot qu'une cle partagee -- chaque membre du CSIRT genere sa propre paire de cles. Decouverte technique utile : validate_public_key() n'exige que la presence d'un en-tete/pied de page PGP, pas l'unicite du bloc -- on peut deja, SANS AUCUNE modification de code, concatener plusieurs cles publiques dans PGP_PUBLIC_KEY. Kleopatra les importe alors toutes en une fois, et un chercheur peut chiffrer vers plusieurs destinataires a la fois (option deja vue « Chiffrer pour d'autres ») -- chacun dechiffre ensuite avec sa propre cle, sans jamais connaitre celle des autres.</w:t>
      </w:r>
    </w:p>
    <w:p>
      <w:pPr>
        <w:pStyle w:val="ListParagraph"/>
        <w:numPr>
          <w:ilvl w:val="0"/>
          <w:numId w:val="1"/>
        </w:numPr>
        <w:spacing w:after="80"/>
      </w:pPr>
      <w:r>
        <w:rPr>
          <w:sz w:val="21"/>
          <w:szCs w:val="21"/>
        </w:rPr>
        <w:t xml:space="preserve">Carte a puce OpenPGP (YubiKey, Nitrokey) -- la cle privee est generee directement sur la carte et ne peut jamais en sortir sous forme de fichier copiable. Dechiffrer exige la carte physique ET son code PIN : remplace le risque "fichier qui peut fuiter" par une garde physique, traçable et revocable individuellement.</w:t>
      </w:r>
    </w:p>
    <w:p>
      <w:pPr>
        <w:pStyle w:val="ListParagraph"/>
        <w:numPr>
          <w:ilvl w:val="0"/>
          <w:numId w:val="1"/>
        </w:numPr>
        <w:spacing w:after="80"/>
      </w:pPr>
      <w:r>
        <w:rPr>
          <w:sz w:val="21"/>
          <w:szCs w:val="21"/>
        </w:rPr>
        <w:t xml:space="preserve">Partage de secret (type Shamir) -- une cle scindee en plusieurs parts, ou un seuil de personnes doit se reunir pour la reconstituer. Plus lourd a operer au quotidien : a reserver a une cle racine rarement utilisee plutot qu'a l'usage courant de dechiffrement des signalements.</w:t>
      </w:r>
    </w:p>
    <w:p>
      <w:pPr>
        <w:pStyle w:val="Heading2"/>
        <w:spacing w:after="130" w:before="320"/>
      </w:pPr>
      <w:r>
        <w:rPr>
          <w:b/>
          <w:bCs/>
          <w:color w:val="3B4A9E"/>
          <w:sz w:val="24"/>
          <w:szCs w:val="24"/>
        </w:rPr>
        <w:t xml:space="preserve">14.2 -- Pas de canal indépendant pour vérifier la clé</w:t>
      </w:r>
    </w:p>
    <w:p>
      <w:pPr>
        <w:pStyle w:val="ListParagraph"/>
        <w:numPr>
          <w:ilvl w:val="0"/>
          <w:numId w:val="1"/>
        </w:numPr>
        <w:spacing w:after="80"/>
      </w:pPr>
      <w:r>
        <w:rPr>
          <w:sz w:val="21"/>
          <w:szCs w:val="21"/>
        </w:rPr>
        <w:t xml:space="preserve">Publier l'empreinte sur un canal distinct d'eVDP -- communique officiel ANSSI-BF, reseaux sociaux institutionnels, document a en-tete officiel.</w:t>
      </w:r>
    </w:p>
    <w:p>
      <w:pPr>
        <w:pStyle w:val="ListParagraph"/>
        <w:numPr>
          <w:ilvl w:val="0"/>
          <w:numId w:val="1"/>
        </w:numPr>
        <w:spacing w:after="80"/>
      </w:pPr>
      <w:r>
        <w:rPr>
          <w:sz w:val="21"/>
          <w:szCs w:val="21"/>
        </w:rPr>
        <w:t xml:space="preserve">Publier la cle sur un serveur de cles public reconnu (ex. keys.openpgp.org) pour une decouverte independante du serveur eVDP lui-meme.</w:t>
      </w:r>
    </w:p>
    <w:p>
      <w:pPr>
        <w:pStyle w:val="ListParagraph"/>
        <w:numPr>
          <w:ilvl w:val="0"/>
          <w:numId w:val="1"/>
        </w:numPr>
        <w:spacing w:after="80"/>
      </w:pPr>
      <w:r>
        <w:rPr>
          <w:sz w:val="21"/>
          <w:szCs w:val="21"/>
        </w:rPr>
        <w:t xml:space="preserve">Si l'infrastructure DNS le permet : publier un enregistrement dedie (WKD / OPENPGPKEY) sur un domaine distinct de celui d'eVDP.</w:t>
      </w:r>
    </w:p>
    <w:p>
      <w:pPr>
        <w:pStyle w:val="Heading2"/>
        <w:spacing w:after="130" w:before="320"/>
      </w:pPr>
      <w:r>
        <w:rPr>
          <w:b/>
          <w:bCs/>
          <w:color w:val="3B4A9E"/>
          <w:sz w:val="24"/>
          <w:szCs w:val="24"/>
        </w:rPr>
        <w:t xml:space="preserve">14.3 -- Rien n'encourage l'usage du champ chiffré pour une sévérité élevée</w:t>
      </w:r>
    </w:p>
    <w:p>
      <w:pPr>
        <w:pBdr>
          <w:left w:val="single" w:color="8A6D00" w:sz="24" w:space="8"/>
        </w:pBdr>
        <w:shd w:fill="F0F1F7" w:val="clear"/>
        <w:spacing w:after="200" w:before="120"/>
        <w:ind w:left="100"/>
      </w:pPr>
      <w:r>
        <w:rPr>
          <w:b/>
          <w:bCs/>
          <w:color w:val="8A6D00"/>
          <w:sz w:val="20"/>
          <w:szCs w:val="20"/>
        </w:rPr>
        <w:t xml:space="preserve">Pourquoi c'est concu ainsi : </w:t>
      </w:r>
      <w:r>
        <w:rPr>
          <w:color w:val="2A2A2A"/>
          <w:sz w:val="20"/>
          <w:szCs w:val="20"/>
        </w:rPr>
        <w:t xml:space="preserve">Implemente. Un avertissement non bloquant (JavaScript pur, static/js/report-submit.js) apparait sous le champ Severite des que "Critique" est choisi et que le champ PGP est encore vide -- masque automatiquement des qu'il est rempli ou que la severite redescend. Purement cote navigateur : aucune validation serveur, la soumission n'est jamais empechee.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Les deux autres pistes (§14.1 et §14.2) restent des ameliorations possibles, non implementees, a prioriser selon les moyens de l'equipe et la sensibilite reelle des signalements traites.</w:t>
      </w:r>
    </w:p>
    <w:p>
      <w:r>
        <w:br w:type="page"/>
      </w:r>
    </w:p>
    <w:p>
      <w:pPr>
        <w:pStyle w:val="Heading1"/>
        <w:pBdr>
          <w:bottom w:val="single" w:color="1E2761" w:sz="6" w:space="4"/>
        </w:pBdr>
        <w:spacing w:after="200" w:before="420"/>
      </w:pPr>
      <w:r>
        <w:rPr>
          <w:b/>
          <w:bCs/>
          <w:color w:val="1E2761"/>
          <w:sz w:val="30"/>
          <w:szCs w:val="30"/>
        </w:rPr>
        <w:t xml:space="preserve">15. Foire aux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E2761" w:val="clear"/>
            <w:tcMar>
              <w:top w:type="dxa" w:w="80"/>
              <w:left w:type="dxa" w:w="100"/>
              <w:bottom w:type="dxa" w:w="80"/>
              <w:right w:type="dxa" w:w="100"/>
            </w:tcMar>
            <w:vAlign w:val="center"/>
          </w:tcPr>
          <w:p>
            <w:r>
              <w:rPr>
                <w:b/>
                <w:bCs/>
                <w:color w:val="FFFFFF"/>
                <w:sz w:val="19"/>
                <w:szCs w:val="19"/>
              </w:rPr>
              <w:t xml:space="preserve">Question</w:t>
            </w:r>
          </w:p>
        </w:tc>
        <w:tc>
          <w:tcPr>
            <w:tcW w:type="pct" w:w="65%"/>
            <w:shd w:fill="1E2761" w:val="clear"/>
            <w:tcMar>
              <w:top w:type="dxa" w:w="80"/>
              <w:left w:type="dxa" w:w="100"/>
              <w:bottom w:type="dxa" w:w="80"/>
              <w:right w:type="dxa" w:w="100"/>
            </w:tcMar>
            <w:vAlign w:val="center"/>
          </w:tcPr>
          <w:p>
            <w:r>
              <w:rPr>
                <w:b/>
                <w:bCs/>
                <w:color w:val="FFFFFF"/>
                <w:sz w:val="19"/>
                <w:szCs w:val="19"/>
              </w:rPr>
              <w:t xml:space="preserve">Réponse</w:t>
            </w:r>
          </w:p>
        </w:tc>
      </w:tr>
      <w:tr>
        <w:tc>
          <w:tcPr>
            <w:tcW w:type="pct" w:w="35%"/>
            <w:tcMar>
              <w:top w:type="dxa" w:w="80"/>
              <w:left w:type="dxa" w:w="100"/>
              <w:bottom w:type="dxa" w:w="80"/>
              <w:right w:type="dxa" w:w="100"/>
            </w:tcMar>
            <w:vAlign w:val="center"/>
          </w:tcPr>
          <w:p>
            <w:r>
              <w:rPr>
                <w:b w:val="false"/>
                <w:bCs w:val="false"/>
                <w:color w:val="1A1A1A"/>
                <w:sz w:val="19"/>
                <w:szCs w:val="19"/>
              </w:rPr>
              <w:t xml:space="preserve">Le PGP est-il obligatoire pour signaler ?</w:t>
            </w:r>
          </w:p>
        </w:tc>
        <w:tc>
          <w:tcPr>
            <w:tcW w:type="pct" w:w="65%"/>
            <w:tcMar>
              <w:top w:type="dxa" w:w="80"/>
              <w:left w:type="dxa" w:w="100"/>
              <w:bottom w:type="dxa" w:w="80"/>
              <w:right w:type="dxa" w:w="100"/>
            </w:tcMar>
            <w:vAlign w:val="center"/>
          </w:tcPr>
          <w:p>
            <w:r>
              <w:rPr>
                <w:b w:val="false"/>
                <w:bCs w:val="false"/>
                <w:color w:val="1A1A1A"/>
                <w:sz w:val="19"/>
                <w:szCs w:val="19"/>
              </w:rPr>
              <w:t xml:space="preserve">Non. Seuls Titre et Description sont obligatoires. Le champ PGP et les pièces jointes chiffrées restent facultatifs, pour la minorité de signalements réellement critiques.</w:t>
            </w:r>
          </w:p>
        </w:tc>
      </w:tr>
      <w:tr>
        <w:tc>
          <w:tcPr>
            <w:tcW w:type="pct" w:w="35%"/>
            <w:tcMar>
              <w:top w:type="dxa" w:w="80"/>
              <w:left w:type="dxa" w:w="100"/>
              <w:bottom w:type="dxa" w:w="80"/>
              <w:right w:type="dxa" w:w="100"/>
            </w:tcMar>
            <w:vAlign w:val="center"/>
          </w:tcPr>
          <w:p>
            <w:r>
              <w:rPr>
                <w:b w:val="false"/>
                <w:bCs w:val="false"/>
                <w:color w:val="1A1A1A"/>
                <w:sz w:val="19"/>
                <w:szCs w:val="19"/>
              </w:rPr>
              <w:t xml:space="preserve">Est-ce que ça bloque les gens non-techniques ou anonymes ?</w:t>
            </w:r>
          </w:p>
        </w:tc>
        <w:tc>
          <w:tcPr>
            <w:tcW w:type="pct" w:w="65%"/>
            <w:tcMar>
              <w:top w:type="dxa" w:w="80"/>
              <w:left w:type="dxa" w:w="100"/>
              <w:bottom w:type="dxa" w:w="80"/>
              <w:right w:type="dxa" w:w="100"/>
            </w:tcMar>
            <w:vAlign w:val="center"/>
          </w:tcPr>
          <w:p>
            <w:r>
              <w:rPr>
                <w:b w:val="false"/>
                <w:bCs w:val="false"/>
                <w:color w:val="1A1A1A"/>
                <w:sz w:val="19"/>
                <w:szCs w:val="19"/>
              </w:rPr>
              <w:t xml:space="preserve">Non. N'importe qui peut signaler sans compte, sans jamais toucher au PGP. La vue submit ne verifie ni connexion ni role.</w:t>
            </w:r>
          </w:p>
        </w:tc>
      </w:tr>
      <w:tr>
        <w:tc>
          <w:tcPr>
            <w:tcW w:type="pct" w:w="35%"/>
            <w:tcMar>
              <w:top w:type="dxa" w:w="80"/>
              <w:left w:type="dxa" w:w="100"/>
              <w:bottom w:type="dxa" w:w="80"/>
              <w:right w:type="dxa" w:w="100"/>
            </w:tcMar>
            <w:vAlign w:val="center"/>
          </w:tcPr>
          <w:p>
            <w:r>
              <w:rPr>
                <w:b w:val="false"/>
                <w:bCs w:val="false"/>
                <w:color w:val="1A1A1A"/>
                <w:sz w:val="19"/>
                <w:szCs w:val="19"/>
              </w:rPr>
              <w:t xml:space="preserve">Peut-on tout chiffrer en un seul bloc (texte + fichiers) ?</w:t>
            </w:r>
          </w:p>
        </w:tc>
        <w:tc>
          <w:tcPr>
            <w:tcW w:type="pct" w:w="65%"/>
            <w:tcMar>
              <w:top w:type="dxa" w:w="80"/>
              <w:left w:type="dxa" w:w="100"/>
              <w:bottom w:type="dxa" w:w="80"/>
              <w:right w:type="dxa" w:w="100"/>
            </w:tcMar>
            <w:vAlign w:val="center"/>
          </w:tcPr>
          <w:p>
            <w:r>
              <w:rPr>
                <w:b w:val="false"/>
                <w:bCs w:val="false"/>
                <w:color w:val="1A1A1A"/>
                <w:sz w:val="19"/>
                <w:szCs w:val="19"/>
              </w:rPr>
              <w:t xml:space="preserve">Non. Le texte (un seul champ) et chaque fichier sont chiffrés séparément. Astuce : regrouper plusieurs fichiers dans un .zip et ne chiffrer que ce zip en une seule opération.</w:t>
            </w:r>
          </w:p>
        </w:tc>
      </w:tr>
      <w:tr>
        <w:tc>
          <w:tcPr>
            <w:tcW w:type="pct" w:w="35%"/>
            <w:tcMar>
              <w:top w:type="dxa" w:w="80"/>
              <w:left w:type="dxa" w:w="100"/>
              <w:bottom w:type="dxa" w:w="80"/>
              <w:right w:type="dxa" w:w="100"/>
            </w:tcMar>
            <w:vAlign w:val="center"/>
          </w:tcPr>
          <w:p>
            <w:r>
              <w:rPr>
                <w:b w:val="false"/>
                <w:bCs w:val="false"/>
                <w:color w:val="1A1A1A"/>
                <w:sz w:val="19"/>
                <w:szCs w:val="19"/>
              </w:rPr>
              <w:t xml:space="preserve">Où colle-t-on le texte chiffré ?</w:t>
            </w:r>
          </w:p>
        </w:tc>
        <w:tc>
          <w:tcPr>
            <w:tcW w:type="pct" w:w="65%"/>
            <w:tcMar>
              <w:top w:type="dxa" w:w="80"/>
              <w:left w:type="dxa" w:w="100"/>
              <w:bottom w:type="dxa" w:w="80"/>
              <w:right w:type="dxa" w:w="100"/>
            </w:tcMar>
            <w:vAlign w:val="center"/>
          </w:tcPr>
          <w:p>
            <w:r>
              <w:rPr>
                <w:b w:val="false"/>
                <w:bCs w:val="false"/>
                <w:color w:val="1A1A1A"/>
                <w:sz w:val="19"/>
                <w:szCs w:val="19"/>
              </w:rPr>
              <w:t xml:space="preserve">Dans l'unique champ « Rapport chiffré PGP », en une seule fois, après avoir écrit toutes les notes sensibles dans un même document puis chiffré ce document entier.</w:t>
            </w:r>
          </w:p>
        </w:tc>
      </w:tr>
      <w:tr>
        <w:tc>
          <w:tcPr>
            <w:tcW w:type="pct" w:w="35%"/>
            <w:tcMar>
              <w:top w:type="dxa" w:w="80"/>
              <w:left w:type="dxa" w:w="100"/>
              <w:bottom w:type="dxa" w:w="80"/>
              <w:right w:type="dxa" w:w="100"/>
            </w:tcMar>
            <w:vAlign w:val="center"/>
          </w:tcPr>
          <w:p>
            <w:r>
              <w:rPr>
                <w:b w:val="false"/>
                <w:bCs w:val="false"/>
                <w:color w:val="1A1A1A"/>
                <w:sz w:val="19"/>
                <w:szCs w:val="19"/>
              </w:rPr>
              <w:t xml:space="preserve">Comment sait-on qu'une pièce jointe est bien protégée ?</w:t>
            </w:r>
          </w:p>
        </w:tc>
        <w:tc>
          <w:tcPr>
            <w:tcW w:type="pct" w:w="65%"/>
            <w:tcMar>
              <w:top w:type="dxa" w:w="80"/>
              <w:left w:type="dxa" w:w="100"/>
              <w:bottom w:type="dxa" w:w="80"/>
              <w:right w:type="dxa" w:w="100"/>
            </w:tcMar>
            <w:vAlign w:val="center"/>
          </w:tcPr>
          <w:p>
            <w:r>
              <w:rPr>
                <w:b w:val="false"/>
                <w:bCs w:val="false"/>
                <w:color w:val="1A1A1A"/>
                <w:sz w:val="19"/>
                <w:szCs w:val="19"/>
              </w:rPr>
              <w:t xml:space="preserve">Un badge « 🔒 PGP » s'affiche dans le dossier si le fichier déposé est reconnu comme un bloc PGP arme (en-tête ET pied de page détectés). Un fichier chiffré en binaire (non arme) reste protégé mais n'affiche pas le badge.</w:t>
            </w:r>
          </w:p>
        </w:tc>
      </w:tr>
      <w:tr>
        <w:tc>
          <w:tcPr>
            <w:tcW w:type="pct" w:w="35%"/>
            <w:tcMar>
              <w:top w:type="dxa" w:w="80"/>
              <w:left w:type="dxa" w:w="100"/>
              <w:bottom w:type="dxa" w:w="80"/>
              <w:right w:type="dxa" w:w="100"/>
            </w:tcMar>
            <w:vAlign w:val="center"/>
          </w:tcPr>
          <w:p>
            <w:r>
              <w:rPr>
                <w:b w:val="false"/>
                <w:bCs w:val="false"/>
                <w:color w:val="1A1A1A"/>
                <w:sz w:val="19"/>
                <w:szCs w:val="19"/>
              </w:rPr>
              <w:t xml:space="preserve">Qui peut changer la clé nationale publiée ?</w:t>
            </w:r>
          </w:p>
        </w:tc>
        <w:tc>
          <w:tcPr>
            <w:tcW w:type="pct" w:w="65%"/>
            <w:tcMar>
              <w:top w:type="dxa" w:w="80"/>
              <w:left w:type="dxa" w:w="100"/>
              <w:bottom w:type="dxa" w:w="80"/>
              <w:right w:type="dxa" w:w="100"/>
            </w:tcMar>
            <w:vAlign w:val="center"/>
          </w:tcPr>
          <w:p>
            <w:r>
              <w:rPr>
                <w:b w:val="false"/>
                <w:bCs w:val="false"/>
                <w:color w:val="1A1A1A"/>
                <w:sz w:val="19"/>
                <w:szCs w:val="19"/>
              </w:rPr>
              <w:t xml:space="preserve">Uniquement quelqu'un avec un accès serveur (.env + redémarrage) — volontairement non modifiable depuis l'interface web, pour qu'un compte applicatif compromis ne suffise pas à substituer la clé.</w:t>
            </w:r>
          </w:p>
        </w:tc>
      </w:tr>
      <w:tr>
        <w:tc>
          <w:tcPr>
            <w:tcW w:type="pct" w:w="35%"/>
            <w:tcMar>
              <w:top w:type="dxa" w:w="80"/>
              <w:left w:type="dxa" w:w="100"/>
              <w:bottom w:type="dxa" w:w="80"/>
              <w:right w:type="dxa" w:w="100"/>
            </w:tcMar>
            <w:vAlign w:val="center"/>
          </w:tcPr>
          <w:p>
            <w:r>
              <w:rPr>
                <w:b w:val="false"/>
                <w:bCs w:val="false"/>
                <w:color w:val="1A1A1A"/>
                <w:sz w:val="19"/>
                <w:szCs w:val="19"/>
              </w:rPr>
              <w:t xml:space="preserve">Que se passe-t-il si le CSIRT perd la clé privée ?</w:t>
            </w:r>
          </w:p>
        </w:tc>
        <w:tc>
          <w:tcPr>
            <w:tcW w:type="pct" w:w="65%"/>
            <w:tcMar>
              <w:top w:type="dxa" w:w="80"/>
              <w:left w:type="dxa" w:w="100"/>
              <w:bottom w:type="dxa" w:w="80"/>
              <w:right w:type="dxa" w:w="100"/>
            </w:tcMar>
            <w:vAlign w:val="center"/>
          </w:tcPr>
          <w:p>
            <w:r>
              <w:rPr>
                <w:b w:val="false"/>
                <w:bCs w:val="false"/>
                <w:color w:val="1A1A1A"/>
                <w:sz w:val="19"/>
                <w:szCs w:val="19"/>
              </w:rPr>
              <w:t xml:space="preserve">Tous les signalements déjà chiffrés avec la clé publique correspondante deviennent définitivement illisibles. La clé privée doit être sauvegardée en lieu sûr, jamais uniquement sur un seul poste.</w:t>
            </w:r>
          </w:p>
        </w:tc>
      </w:tr>
    </w:tbl>
    <w:p>
      <w:pPr>
        <w:pStyle w:val="Heading1"/>
        <w:pBdr>
          <w:bottom w:val="single" w:color="1E2761" w:sz="6" w:space="4"/>
        </w:pBdr>
        <w:spacing w:after="200" w:before="420"/>
      </w:pPr>
      <w:r>
        <w:rPr>
          <w:b/>
          <w:bCs/>
          <w:color w:val="1E2761"/>
          <w:sz w:val="30"/>
          <w:szCs w:val="30"/>
        </w:rPr>
        <w:t xml:space="preserve">16. Glossaire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Terme</w:t>
            </w:r>
          </w:p>
        </w:tc>
        <w:tc>
          <w:tcPr>
            <w:tcW w:type="pct" w:w="70%"/>
            <w:shd w:fill="1E2761" w:val="clear"/>
            <w:tcMar>
              <w:top w:type="dxa" w:w="80"/>
              <w:left w:type="dxa" w:w="100"/>
              <w:bottom w:type="dxa" w:w="80"/>
              <w:right w:type="dxa" w:w="100"/>
            </w:tcMar>
            <w:vAlign w:val="center"/>
          </w:tcPr>
          <w:p>
            <w:r>
              <w:rPr>
                <w:b/>
                <w:bCs/>
                <w:color w:val="FFFFFF"/>
                <w:sz w:val="19"/>
                <w:szCs w:val="19"/>
              </w:rPr>
              <w:t xml:space="preserve">Définition</w:t>
            </w:r>
          </w:p>
        </w:tc>
      </w:tr>
      <w:tr>
        <w:tc>
          <w:tcPr>
            <w:tcW w:type="pct" w:w="30%"/>
            <w:tcMar>
              <w:top w:type="dxa" w:w="80"/>
              <w:left w:type="dxa" w:w="100"/>
              <w:bottom w:type="dxa" w:w="80"/>
              <w:right w:type="dxa" w:w="100"/>
            </w:tcMar>
            <w:vAlign w:val="center"/>
          </w:tcPr>
          <w:p>
            <w:r>
              <w:rPr>
                <w:b w:val="false"/>
                <w:bCs w:val="false"/>
                <w:color w:val="1A1A1A"/>
                <w:sz w:val="19"/>
                <w:szCs w:val="19"/>
              </w:rPr>
              <w:t xml:space="preserve">PGP (Pretty Good Privacy)</w:t>
            </w:r>
          </w:p>
        </w:tc>
        <w:tc>
          <w:tcPr>
            <w:tcW w:type="pct" w:w="70%"/>
            <w:tcMar>
              <w:top w:type="dxa" w:w="80"/>
              <w:left w:type="dxa" w:w="100"/>
              <w:bottom w:type="dxa" w:w="80"/>
              <w:right w:type="dxa" w:w="100"/>
            </w:tcMar>
            <w:vAlign w:val="center"/>
          </w:tcPr>
          <w:p>
            <w:r>
              <w:rPr>
                <w:b w:val="false"/>
                <w:bCs w:val="false"/>
                <w:color w:val="1A1A1A"/>
                <w:sz w:val="19"/>
                <w:szCs w:val="19"/>
              </w:rPr>
              <w:t xml:space="preserve">Standard de chiffrement/signature par cryptographie asymétrique, utilisé pour protéger des messages ou fichiers</w:t>
            </w:r>
          </w:p>
        </w:tc>
      </w:tr>
      <w:tr>
        <w:tc>
          <w:tcPr>
            <w:tcW w:type="pct" w:w="30%"/>
            <w:tcMar>
              <w:top w:type="dxa" w:w="80"/>
              <w:left w:type="dxa" w:w="100"/>
              <w:bottom w:type="dxa" w:w="80"/>
              <w:right w:type="dxa" w:w="100"/>
            </w:tcMar>
            <w:vAlign w:val="center"/>
          </w:tcPr>
          <w:p>
            <w:r>
              <w:rPr>
                <w:b w:val="false"/>
                <w:bCs w:val="false"/>
                <w:color w:val="1A1A1A"/>
                <w:sz w:val="19"/>
                <w:szCs w:val="19"/>
              </w:rPr>
              <w:t xml:space="preserve">GPG / GnuPG</w:t>
            </w:r>
          </w:p>
        </w:tc>
        <w:tc>
          <w:tcPr>
            <w:tcW w:type="pct" w:w="70%"/>
            <w:tcMar>
              <w:top w:type="dxa" w:w="80"/>
              <w:left w:type="dxa" w:w="100"/>
              <w:bottom w:type="dxa" w:w="80"/>
              <w:right w:type="dxa" w:w="100"/>
            </w:tcMar>
            <w:vAlign w:val="center"/>
          </w:tcPr>
          <w:p>
            <w:r>
              <w:rPr>
                <w:b w:val="false"/>
                <w:bCs w:val="false"/>
                <w:color w:val="1A1A1A"/>
                <w:sz w:val="19"/>
                <w:szCs w:val="19"/>
              </w:rPr>
              <w:t xml:space="preserve">Implémentation open source, libre et auditée du standard OpenPGP (la norme technique derrière PGP)</w:t>
            </w:r>
          </w:p>
        </w:tc>
      </w:tr>
      <w:tr>
        <w:tc>
          <w:tcPr>
            <w:tcW w:type="pct" w:w="30%"/>
            <w:tcMar>
              <w:top w:type="dxa" w:w="80"/>
              <w:left w:type="dxa" w:w="100"/>
              <w:bottom w:type="dxa" w:w="80"/>
              <w:right w:type="dxa" w:w="100"/>
            </w:tcMar>
            <w:vAlign w:val="center"/>
          </w:tcPr>
          <w:p>
            <w:r>
              <w:rPr>
                <w:b w:val="false"/>
                <w:bCs w:val="false"/>
                <w:color w:val="1A1A1A"/>
                <w:sz w:val="19"/>
                <w:szCs w:val="19"/>
              </w:rPr>
              <w:t xml:space="preserve">Kleopatra</w:t>
            </w:r>
          </w:p>
        </w:tc>
        <w:tc>
          <w:tcPr>
            <w:tcW w:type="pct" w:w="70%"/>
            <w:tcMar>
              <w:top w:type="dxa" w:w="80"/>
              <w:left w:type="dxa" w:w="100"/>
              <w:bottom w:type="dxa" w:w="80"/>
              <w:right w:type="dxa" w:w="100"/>
            </w:tcMar>
            <w:vAlign w:val="center"/>
          </w:tcPr>
          <w:p>
            <w:r>
              <w:rPr>
                <w:b w:val="false"/>
                <w:bCs w:val="false"/>
                <w:color w:val="1A1A1A"/>
                <w:sz w:val="19"/>
                <w:szCs w:val="19"/>
              </w:rPr>
              <w:t xml:space="preserve">Interface graphique de GnuPG (incluse dans Gpg4win) pour générer des clés, chiffrer et déchiffrer</w:t>
            </w:r>
          </w:p>
        </w:tc>
      </w:tr>
      <w:tr>
        <w:tc>
          <w:tcPr>
            <w:tcW w:type="pct" w:w="30%"/>
            <w:tcMar>
              <w:top w:type="dxa" w:w="80"/>
              <w:left w:type="dxa" w:w="100"/>
              <w:bottom w:type="dxa" w:w="80"/>
              <w:right w:type="dxa" w:w="100"/>
            </w:tcMar>
            <w:vAlign w:val="center"/>
          </w:tcPr>
          <w:p>
            <w:r>
              <w:rPr>
                <w:b w:val="false"/>
                <w:bCs w:val="false"/>
                <w:color w:val="1A1A1A"/>
                <w:sz w:val="19"/>
                <w:szCs w:val="19"/>
              </w:rPr>
              <w:t xml:space="preserve">Clé publique</w:t>
            </w:r>
          </w:p>
        </w:tc>
        <w:tc>
          <w:tcPr>
            <w:tcW w:type="pct" w:w="70%"/>
            <w:tcMar>
              <w:top w:type="dxa" w:w="80"/>
              <w:left w:type="dxa" w:w="100"/>
              <w:bottom w:type="dxa" w:w="80"/>
              <w:right w:type="dxa" w:w="100"/>
            </w:tcMar>
            <w:vAlign w:val="center"/>
          </w:tcPr>
          <w:p>
            <w:r>
              <w:rPr>
                <w:b w:val="false"/>
                <w:bCs w:val="false"/>
                <w:color w:val="1A1A1A"/>
                <w:sz w:val="19"/>
                <w:szCs w:val="19"/>
              </w:rPr>
              <w:t xml:space="preserve">Peut être diffusée à tout le monde ; sert uniquement à chiffrer un message à l'attention de son propriétaire</w:t>
            </w:r>
          </w:p>
        </w:tc>
      </w:tr>
      <w:tr>
        <w:tc>
          <w:tcPr>
            <w:tcW w:type="pct" w:w="30%"/>
            <w:tcMar>
              <w:top w:type="dxa" w:w="80"/>
              <w:left w:type="dxa" w:w="100"/>
              <w:bottom w:type="dxa" w:w="80"/>
              <w:right w:type="dxa" w:w="100"/>
            </w:tcMar>
            <w:vAlign w:val="center"/>
          </w:tcPr>
          <w:p>
            <w:r>
              <w:rPr>
                <w:b w:val="false"/>
                <w:bCs w:val="false"/>
                <w:color w:val="1A1A1A"/>
                <w:sz w:val="19"/>
                <w:szCs w:val="19"/>
              </w:rPr>
              <w:t xml:space="preserve">Clé privée</w:t>
            </w:r>
          </w:p>
        </w:tc>
        <w:tc>
          <w:tcPr>
            <w:tcW w:type="pct" w:w="70%"/>
            <w:tcMar>
              <w:top w:type="dxa" w:w="80"/>
              <w:left w:type="dxa" w:w="100"/>
              <w:bottom w:type="dxa" w:w="80"/>
              <w:right w:type="dxa" w:w="100"/>
            </w:tcMar>
            <w:vAlign w:val="center"/>
          </w:tcPr>
          <w:p>
            <w:r>
              <w:rPr>
                <w:b w:val="false"/>
                <w:bCs w:val="false"/>
                <w:color w:val="1A1A1A"/>
                <w:sz w:val="19"/>
                <w:szCs w:val="19"/>
              </w:rPr>
              <w:t xml:space="preserve">Ne doit jamais quitter la machine de son propriétaire ; seule elle permet de déchiffrer</w:t>
            </w:r>
          </w:p>
        </w:tc>
      </w:tr>
      <w:tr>
        <w:tc>
          <w:tcPr>
            <w:tcW w:type="pct" w:w="30%"/>
            <w:tcMar>
              <w:top w:type="dxa" w:w="80"/>
              <w:left w:type="dxa" w:w="100"/>
              <w:bottom w:type="dxa" w:w="80"/>
              <w:right w:type="dxa" w:w="100"/>
            </w:tcMar>
            <w:vAlign w:val="center"/>
          </w:tcPr>
          <w:p>
            <w:r>
              <w:rPr>
                <w:b w:val="false"/>
                <w:bCs w:val="false"/>
                <w:color w:val="1A1A1A"/>
                <w:sz w:val="19"/>
                <w:szCs w:val="19"/>
              </w:rPr>
              <w:t xml:space="preserve">Phrase secrète (passphrase)</w:t>
            </w:r>
          </w:p>
        </w:tc>
        <w:tc>
          <w:tcPr>
            <w:tcW w:type="pct" w:w="70%"/>
            <w:tcMar>
              <w:top w:type="dxa" w:w="80"/>
              <w:left w:type="dxa" w:w="100"/>
              <w:bottom w:type="dxa" w:w="80"/>
              <w:right w:type="dxa" w:w="100"/>
            </w:tcMar>
            <w:vAlign w:val="center"/>
          </w:tcPr>
          <w:p>
            <w:r>
              <w:rPr>
                <w:b w:val="false"/>
                <w:bCs w:val="false"/>
                <w:color w:val="1A1A1A"/>
                <w:sz w:val="19"/>
                <w:szCs w:val="19"/>
              </w:rPr>
              <w:t xml:space="preserve">Mot de passe qui protège la clé privée sur le disque ; sans elle, la clé privée seule ne suffit pas</w:t>
            </w:r>
          </w:p>
        </w:tc>
      </w:tr>
      <w:tr>
        <w:tc>
          <w:tcPr>
            <w:tcW w:type="pct" w:w="30%"/>
            <w:tcMar>
              <w:top w:type="dxa" w:w="80"/>
              <w:left w:type="dxa" w:w="100"/>
              <w:bottom w:type="dxa" w:w="80"/>
              <w:right w:type="dxa" w:w="100"/>
            </w:tcMar>
            <w:vAlign w:val="center"/>
          </w:tcPr>
          <w:p>
            <w:r>
              <w:rPr>
                <w:b w:val="false"/>
                <w:bCs w:val="false"/>
                <w:color w:val="1A1A1A"/>
                <w:sz w:val="19"/>
                <w:szCs w:val="19"/>
              </w:rPr>
              <w:t xml:space="preserve">Empreinte (fingerprint)</w:t>
            </w:r>
          </w:p>
        </w:tc>
        <w:tc>
          <w:tcPr>
            <w:tcW w:type="pct" w:w="70%"/>
            <w:tcMar>
              <w:top w:type="dxa" w:w="80"/>
              <w:left w:type="dxa" w:w="100"/>
              <w:bottom w:type="dxa" w:w="80"/>
              <w:right w:type="dxa" w:w="100"/>
            </w:tcMar>
            <w:vAlign w:val="center"/>
          </w:tcPr>
          <w:p>
            <w:r>
              <w:rPr>
                <w:b w:val="false"/>
                <w:bCs w:val="false"/>
                <w:color w:val="1A1A1A"/>
                <w:sz w:val="19"/>
                <w:szCs w:val="19"/>
              </w:rPr>
              <w:t xml:space="preserve">Identifiant unique d'une clé (40 caractères hexadécimaux), permettant de vérifier qu'on a la bonne clé sans comparer tout son contenu</w:t>
            </w:r>
          </w:p>
        </w:tc>
      </w:tr>
      <w:tr>
        <w:tc>
          <w:tcPr>
            <w:tcW w:type="pct" w:w="30%"/>
            <w:tcMar>
              <w:top w:type="dxa" w:w="80"/>
              <w:left w:type="dxa" w:w="100"/>
              <w:bottom w:type="dxa" w:w="80"/>
              <w:right w:type="dxa" w:w="100"/>
            </w:tcMar>
            <w:vAlign w:val="center"/>
          </w:tcPr>
          <w:p>
            <w:r>
              <w:rPr>
                <w:b w:val="false"/>
                <w:bCs w:val="false"/>
                <w:color w:val="1A1A1A"/>
                <w:sz w:val="19"/>
                <w:szCs w:val="19"/>
              </w:rPr>
              <w:t xml:space="preserve">Armure ASCII (ASCII armor)</w:t>
            </w:r>
          </w:p>
        </w:tc>
        <w:tc>
          <w:tcPr>
            <w:tcW w:type="pct" w:w="70%"/>
            <w:tcMar>
              <w:top w:type="dxa" w:w="80"/>
              <w:left w:type="dxa" w:w="100"/>
              <w:bottom w:type="dxa" w:w="80"/>
              <w:right w:type="dxa" w:w="100"/>
            </w:tcMar>
            <w:vAlign w:val="center"/>
          </w:tcPr>
          <w:p>
            <w:r>
              <w:rPr>
                <w:b w:val="false"/>
                <w:bCs w:val="false"/>
                <w:color w:val="1A1A1A"/>
                <w:sz w:val="19"/>
                <w:szCs w:val="19"/>
              </w:rPr>
              <w:t xml:space="preserve">Encodage d'un contenu chiffré binaire en texte lisible (base64), reconnaissable aux lignes -----BEGIN...-----/-----END...-----</w:t>
            </w:r>
          </w:p>
        </w:tc>
      </w:tr>
      <w:tr>
        <w:tc>
          <w:tcPr>
            <w:tcW w:type="pct" w:w="30%"/>
            <w:tcMar>
              <w:top w:type="dxa" w:w="80"/>
              <w:left w:type="dxa" w:w="100"/>
              <w:bottom w:type="dxa" w:w="80"/>
              <w:right w:type="dxa" w:w="100"/>
            </w:tcMar>
            <w:vAlign w:val="center"/>
          </w:tcPr>
          <w:p>
            <w:r>
              <w:rPr>
                <w:b w:val="false"/>
                <w:bCs w:val="false"/>
                <w:color w:val="1A1A1A"/>
                <w:sz w:val="19"/>
                <w:szCs w:val="19"/>
              </w:rPr>
              <w:t xml:space="preserve">Chiffrer</w:t>
            </w:r>
          </w:p>
        </w:tc>
        <w:tc>
          <w:tcPr>
            <w:tcW w:type="pct" w:w="70%"/>
            <w:tcMar>
              <w:top w:type="dxa" w:w="80"/>
              <w:left w:type="dxa" w:w="100"/>
              <w:bottom w:type="dxa" w:w="80"/>
              <w:right w:type="dxa" w:w="100"/>
            </w:tcMar>
            <w:vAlign w:val="center"/>
          </w:tcPr>
          <w:p>
            <w:r>
              <w:rPr>
                <w:b w:val="false"/>
                <w:bCs w:val="false"/>
                <w:color w:val="1A1A1A"/>
                <w:sz w:val="19"/>
                <w:szCs w:val="19"/>
              </w:rPr>
              <w:t xml:space="preserve">Rendre un contenu illisible sans la clé privée correspondante</w:t>
            </w:r>
          </w:p>
        </w:tc>
      </w:tr>
      <w:tr>
        <w:tc>
          <w:tcPr>
            <w:tcW w:type="pct" w:w="30%"/>
            <w:tcMar>
              <w:top w:type="dxa" w:w="80"/>
              <w:left w:type="dxa" w:w="100"/>
              <w:bottom w:type="dxa" w:w="80"/>
              <w:right w:type="dxa" w:w="100"/>
            </w:tcMar>
            <w:vAlign w:val="center"/>
          </w:tcPr>
          <w:p>
            <w:r>
              <w:rPr>
                <w:b w:val="false"/>
                <w:bCs w:val="false"/>
                <w:color w:val="1A1A1A"/>
                <w:sz w:val="19"/>
                <w:szCs w:val="19"/>
              </w:rPr>
              <w:t xml:space="preserve">Signer</w:t>
            </w:r>
          </w:p>
        </w:tc>
        <w:tc>
          <w:tcPr>
            <w:tcW w:type="pct" w:w="70%"/>
            <w:tcMar>
              <w:top w:type="dxa" w:w="80"/>
              <w:left w:type="dxa" w:w="100"/>
              <w:bottom w:type="dxa" w:w="80"/>
              <w:right w:type="dxa" w:w="100"/>
            </w:tcMar>
            <w:vAlign w:val="center"/>
          </w:tcPr>
          <w:p>
            <w:r>
              <w:rPr>
                <w:b w:val="false"/>
                <w:bCs w:val="false"/>
                <w:color w:val="1A1A1A"/>
                <w:sz w:val="19"/>
                <w:szCs w:val="19"/>
              </w:rPr>
              <w:t xml:space="preserve">Prouver, avec sa clé privée, qu'un message vient authentiquement de soi et n'a pas été modifié — different du chiffrement</w:t>
            </w:r>
          </w:p>
        </w:tc>
      </w:tr>
    </w:tbl>
    <w:p>
      <w:pPr>
        <w:spacing w:before="500"/>
        <w:jc w:val="center"/>
      </w:pPr>
      <w:r>
        <w:rPr>
          <w:i/>
          <w:iCs/>
          <w:color w:val="5B5B5B"/>
          <w:sz w:val="17"/>
          <w:szCs w:val="17"/>
        </w:rPr>
        <w:t xml:space="preserve">Document genere pour le projet eVDP -- CYBER-DEF 2 / FASO SHIELD -- ELITE IT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abstractNum w:abstractNumId="6"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2026-09-13T17:13:42.144Z</dcterms:created>
  <dcterms:modified xsi:type="dcterms:W3CDTF">2026-09-13T17:13:42.146Z</dcterms:modified>
</cp:coreProperties>
</file>

<file path=docProps/custom.xml><?xml version="1.0" encoding="utf-8"?>
<Properties xmlns="http://schemas.openxmlformats.org/officeDocument/2006/custom-properties" xmlns:vt="http://schemas.openxmlformats.org/officeDocument/2006/docPropsVTypes"/>
</file>