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E2761"/>
          <w:sz w:val="64"/>
          <w:szCs w:val="64"/>
        </w:rPr>
        <w:t xml:space="preserve">eVDP</w:t>
      </w:r>
    </w:p>
    <w:p>
      <w:pPr>
        <w:spacing w:after="60"/>
        <w:jc w:val="center"/>
      </w:pPr>
      <w:r>
        <w:rPr>
          <w:b/>
          <w:bCs/>
          <w:color w:val="3B4A9E"/>
          <w:sz w:val="34"/>
          <w:szCs w:val="34"/>
        </w:rPr>
        <w:t xml:space="preserve">Comptes, rôles et permissions</w:t>
      </w:r>
    </w:p>
    <w:p>
      <w:pPr>
        <w:spacing w:after="400"/>
        <w:jc w:val="center"/>
      </w:pPr>
      <w:r>
        <w:rPr>
          <w:i/>
          <w:iCs/>
          <w:color w:val="5B5B5B"/>
          <w:sz w:val="22"/>
          <w:szCs w:val="22"/>
        </w:rPr>
        <w:t xml:space="preserve">Guide de référence complet : rôles existants, capacités, procédures de création, justification des choix de sécurité, foire aux questions</w:t>
      </w:r>
    </w:p>
    <w:p>
      <w:pPr>
        <w:spacing w:after="40"/>
        <w:jc w:val="center"/>
      </w:pPr>
      <w:r>
        <w:rPr>
          <w:color w:val="5B5B5B"/>
          <w:sz w:val="19"/>
          <w:szCs w:val="19"/>
        </w:rPr>
        <w:t xml:space="preserve">Projet CYBER-DEF 2 -- Plateforme nationale de divulgation coordonnee de vulnerabilites</w:t>
      </w:r>
    </w:p>
    <w:p>
      <w:pPr>
        <w:spacing w:after="700"/>
        <w:jc w:val="center"/>
      </w:pPr>
      <w:r>
        <w:rPr>
          <w:color w:val="5B5B5B"/>
          <w:sz w:val="19"/>
          <w:szCs w:val="19"/>
        </w:rPr>
        <w:t xml:space="preserve">Dépôt : github.com/wendiouedraogo8-art/evdp -- fichier source : apps/accounts/roles.py</w:t>
      </w:r>
    </w:p>
    <w:p>
      <w:pPr>
        <w:pStyle w:val="Heading1"/>
        <w:pBdr>
          <w:bottom w:val="single" w:color="1E2761" w:sz="6" w:space="4"/>
        </w:pBdr>
        <w:spacing w:after="200" w:before="420"/>
      </w:pPr>
      <w:r>
        <w:rPr>
          <w:b/>
          <w:bCs/>
          <w:color w:val="1E2761"/>
          <w:sz w:val="30"/>
          <w:szCs w:val="30"/>
        </w:rPr>
        <w:t xml:space="preserve">1. Comment fonctionne le système de rôles (RBAC)</w:t>
      </w:r>
    </w:p>
    <w:p>
      <w:pPr>
        <w:spacing w:after="160" w:line="300"/>
      </w:pPr>
      <w:r>
        <w:rPr>
          <w:color w:val="1A1A1A"/>
          <w:sz w:val="21"/>
          <w:szCs w:val="21"/>
        </w:rPr>
        <w:t xml:space="preserve">Chaque compte utilisateur porte un unique champ role (dix valeurs possibles, détaillées au §2). Ce rôle détermine un ensemble fixe de « capacités » — des droits atomiques (ex. TRIAGE_CASE, APPROVE_BOUNTY, MANAGE_USERS) — via une table de correspondance unique dans le code (ROLE_CAPABILITIES). Chaque action sensible de la plateforme vérifie explicitement la capacité requise ; aucune capacité n'est jamais implicite ou déduite.</w:t>
      </w:r>
    </w:p>
    <w:p>
      <w:pPr>
        <w:spacing w:after="160" w:line="300"/>
      </w:pPr>
      <w:r>
        <w:rPr>
          <w:color w:val="1A1A1A"/>
          <w:sz w:val="21"/>
          <w:szCs w:val="21"/>
        </w:rPr>
        <w:t xml:space="preserve">Deux règles structurantes, valables pour tous les rôles :</w:t>
      </w:r>
    </w:p>
    <w:p>
      <w:pPr>
        <w:pStyle w:val="ListParagraph"/>
        <w:numPr>
          <w:ilvl w:val="0"/>
          <w:numId w:val="1"/>
        </w:numPr>
        <w:spacing w:after="80"/>
      </w:pPr>
      <w:r>
        <w:rPr>
          <w:sz w:val="21"/>
          <w:szCs w:val="21"/>
        </w:rPr>
        <w:t xml:space="preserve">Le rôle n'est jamais modifiable par l'utilisateur lui-même — uniquement par quelqu'un qui détient déjà la capacité MANAGE_USERS ou MANAGE_ORGANIZATION, selon le cas.</w:t>
      </w:r>
    </w:p>
    <w:p>
      <w:pPr>
        <w:pStyle w:val="ListParagraph"/>
        <w:numPr>
          <w:ilvl w:val="0"/>
          <w:numId w:val="1"/>
        </w:numPr>
        <w:spacing w:after="80"/>
      </w:pPr>
      <w:r>
        <w:rPr>
          <w:sz w:val="21"/>
          <w:szCs w:val="21"/>
        </w:rPr>
        <w:t xml:space="preserve">Un compte Super-admin (is_superuser=True) contourne toutes les vérifications de capacité, quel que soit son rôle affiché — c'est un attribut Django séparé du champ role, réservé à l'administration technique de la plateforme.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is_staff et is_superuser sont des champs Django standards, indépendants du champ role métier. Ils ne servent qu'à l'accès à l'admin technique Django (/admin/) et au contournement total des vérifications RBAC. En pratique, un compte Super-admin a toujours les deux à True.</w:t>
      </w:r>
    </w:p>
    <w:p>
      <w:pPr>
        <w:pStyle w:val="Heading1"/>
        <w:pBdr>
          <w:bottom w:val="single" w:color="1E2761" w:sz="6" w:space="4"/>
        </w:pBdr>
        <w:spacing w:after="200" w:before="420"/>
      </w:pPr>
      <w:r>
        <w:rPr>
          <w:b/>
          <w:bCs/>
          <w:color w:val="1E2761"/>
          <w:sz w:val="30"/>
          <w:szCs w:val="30"/>
        </w:rPr>
        <w:t xml:space="preserve">2. Les 10 rôles existants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6%"/>
            <w:shd w:fill="1E2761" w:val="clear"/>
            <w:tcMar>
              <w:top w:type="dxa" w:w="80"/>
              <w:left w:type="dxa" w:w="100"/>
              <w:bottom w:type="dxa" w:w="80"/>
              <w:right w:type="dxa" w:w="100"/>
            </w:tcMar>
            <w:vAlign w:val="center"/>
          </w:tcPr>
          <w:p>
            <w:r>
              <w:rPr>
                <w:b/>
                <w:bCs/>
                <w:color w:val="FFFFFF"/>
                <w:sz w:val="19"/>
                <w:szCs w:val="19"/>
              </w:rPr>
              <w:t xml:space="preserve">Rôle (constante)</w:t>
            </w:r>
          </w:p>
        </w:tc>
        <w:tc>
          <w:tcPr>
            <w:tcW w:type="pct" w:w="14%"/>
            <w:shd w:fill="1E2761" w:val="clear"/>
            <w:tcMar>
              <w:top w:type="dxa" w:w="80"/>
              <w:left w:type="dxa" w:w="100"/>
              <w:bottom w:type="dxa" w:w="80"/>
              <w:right w:type="dxa" w:w="100"/>
            </w:tcMar>
            <w:vAlign w:val="center"/>
          </w:tcPr>
          <w:p>
            <w:r>
              <w:rPr>
                <w:b/>
                <w:bCs/>
                <w:color w:val="FFFFFF"/>
                <w:sz w:val="19"/>
                <w:szCs w:val="19"/>
              </w:rPr>
              <w:t xml:space="preserve">Portée</w:t>
            </w:r>
          </w:p>
        </w:tc>
        <w:tc>
          <w:tcPr>
            <w:tcW w:type="pct" w:w="38%"/>
            <w:shd w:fill="1E2761" w:val="clear"/>
            <w:tcMar>
              <w:top w:type="dxa" w:w="80"/>
              <w:left w:type="dxa" w:w="100"/>
              <w:bottom w:type="dxa" w:w="80"/>
              <w:right w:type="dxa" w:w="100"/>
            </w:tcMar>
            <w:vAlign w:val="center"/>
          </w:tcPr>
          <w:p>
            <w:r>
              <w:rPr>
                <w:b/>
                <w:bCs/>
                <w:color w:val="FFFFFF"/>
                <w:sz w:val="19"/>
                <w:szCs w:val="19"/>
              </w:rPr>
              <w:t xml:space="preserve">Ce qu'il peut faire</w:t>
            </w:r>
          </w:p>
        </w:tc>
        <w:tc>
          <w:tcPr>
            <w:tcW w:type="pct" w:w="24%"/>
            <w:shd w:fill="1E2761" w:val="clear"/>
            <w:tcMar>
              <w:top w:type="dxa" w:w="80"/>
              <w:left w:type="dxa" w:w="100"/>
              <w:bottom w:type="dxa" w:w="80"/>
              <w:right w:type="dxa" w:w="100"/>
            </w:tcMar>
            <w:vAlign w:val="center"/>
          </w:tcPr>
          <w:p>
            <w:r>
              <w:rPr>
                <w:b/>
                <w:bCs/>
                <w:color w:val="FFFFFF"/>
                <w:sz w:val="19"/>
                <w:szCs w:val="19"/>
              </w:rPr>
              <w:t xml:space="preserve">Comment le compte est créé</w:t>
            </w:r>
          </w:p>
        </w:tc>
        <w:tc>
          <w:tcPr>
            <w:tcW w:type="pct" w:w="8%"/>
            <w:shd w:fill="1E2761" w:val="clear"/>
            <w:tcMar>
              <w:top w:type="dxa" w:w="80"/>
              <w:left w:type="dxa" w:w="100"/>
              <w:bottom w:type="dxa" w:w="80"/>
              <w:right w:type="dxa" w:w="100"/>
            </w:tcMar>
            <w:vAlign w:val="center"/>
          </w:tcPr>
          <w:p>
            <w:r>
              <w:rPr>
                <w:b/>
                <w:bCs/>
                <w:color w:val="FFFFFF"/>
                <w:sz w:val="19"/>
                <w:szCs w:val="19"/>
              </w:rPr>
              <w:t xml:space="preserve">MFA obligatoire</w:t>
            </w:r>
          </w:p>
        </w:tc>
      </w:tr>
      <w:tr>
        <w:tc>
          <w:tcPr>
            <w:tcW w:type="pct" w:w="16%"/>
            <w:tcMar>
              <w:top w:type="dxa" w:w="80"/>
              <w:left w:type="dxa" w:w="100"/>
              <w:bottom w:type="dxa" w:w="80"/>
              <w:right w:type="dxa" w:w="100"/>
            </w:tcMar>
            <w:vAlign w:val="center"/>
          </w:tcPr>
          <w:p>
            <w:r>
              <w:rPr>
                <w:b w:val="false"/>
                <w:bCs w:val="false"/>
                <w:color w:val="1A1A1A"/>
                <w:sz w:val="19"/>
                <w:szCs w:val="19"/>
              </w:rPr>
              <w:t xml:space="preserve">Administrateur système
(SUPER_ADMIN)</w:t>
            </w:r>
          </w:p>
        </w:tc>
        <w:tc>
          <w:tcPr>
            <w:tcW w:type="pct" w:w="14%"/>
            <w:tcMar>
              <w:top w:type="dxa" w:w="80"/>
              <w:left w:type="dxa" w:w="100"/>
              <w:bottom w:type="dxa" w:w="80"/>
              <w:right w:type="dxa" w:w="100"/>
            </w:tcMar>
            <w:vAlign w:val="center"/>
          </w:tcPr>
          <w:p>
            <w:r>
              <w:rPr>
                <w:b w:val="false"/>
                <w:bCs w:val="false"/>
                <w:color w:val="1A1A1A"/>
                <w:sz w:val="19"/>
                <w:szCs w:val="19"/>
              </w:rPr>
              <w:t xml:space="preserve">Totale — toutes les capacités, sans exception</w:t>
            </w:r>
          </w:p>
        </w:tc>
        <w:tc>
          <w:tcPr>
            <w:tcW w:type="pct" w:w="38%"/>
            <w:tcMar>
              <w:top w:type="dxa" w:w="80"/>
              <w:left w:type="dxa" w:w="100"/>
              <w:bottom w:type="dxa" w:w="80"/>
              <w:right w:type="dxa" w:w="100"/>
            </w:tcMar>
            <w:vAlign w:val="center"/>
          </w:tcPr>
          <w:p>
            <w:r>
              <w:rPr>
                <w:b w:val="false"/>
                <w:bCs w:val="false"/>
                <w:color w:val="1A1A1A"/>
                <w:sz w:val="19"/>
                <w:szCs w:val="19"/>
              </w:rPr>
              <w:t xml:space="preserve">Absolument tout : administration technique, création de tout autre rôle y compris un autre super-admin.</w:t>
            </w:r>
          </w:p>
        </w:tc>
        <w:tc>
          <w:tcPr>
            <w:tcW w:type="pct" w:w="24%"/>
            <w:tcMar>
              <w:top w:type="dxa" w:w="80"/>
              <w:left w:type="dxa" w:w="100"/>
              <w:bottom w:type="dxa" w:w="80"/>
              <w:right w:type="dxa" w:w="100"/>
            </w:tcMar>
            <w:vAlign w:val="center"/>
          </w:tcPr>
          <w:p>
            <w:r>
              <w:rPr>
                <w:b w:val="false"/>
                <w:bCs w:val="false"/>
                <w:color w:val="1A1A1A"/>
                <w:sz w:val="19"/>
                <w:szCs w:val="19"/>
              </w:rPr>
              <w:t xml:space="preserve">Uniquement en ligne de commande, au tout premier démarrage : python manage.py createsuperuser. Aucune interface ne permet d'en créer un second (sauf par un super-admin déjà connecté).</w:t>
            </w:r>
          </w:p>
        </w:tc>
        <w:tc>
          <w:tcPr>
            <w:tcW w:type="pct" w:w="8%"/>
            <w:tcMar>
              <w:top w:type="dxa" w:w="80"/>
              <w:left w:type="dxa" w:w="100"/>
              <w:bottom w:type="dxa" w:w="80"/>
              <w:right w:type="dxa" w:w="100"/>
            </w:tcMar>
            <w:vAlign w:val="center"/>
          </w:tcPr>
          <w:p>
            <w:r>
              <w:rPr>
                <w:b w:val="false"/>
                <w:bCs w:val="false"/>
                <w:color w:val="1A1A1A"/>
                <w:sz w:val="19"/>
                <w:szCs w:val="19"/>
              </w:rPr>
              <w:t xml:space="preserve">Non forcée par le code (mais fortement recommandée)</w:t>
            </w:r>
          </w:p>
        </w:tc>
      </w:tr>
      <w:tr>
        <w:tc>
          <w:tcPr>
            <w:tcW w:type="pct" w:w="16%"/>
            <w:tcMar>
              <w:top w:type="dxa" w:w="80"/>
              <w:left w:type="dxa" w:w="100"/>
              <w:bottom w:type="dxa" w:w="80"/>
              <w:right w:type="dxa" w:w="100"/>
            </w:tcMar>
            <w:vAlign w:val="center"/>
          </w:tcPr>
          <w:p>
            <w:r>
              <w:rPr>
                <w:b w:val="false"/>
                <w:bCs w:val="false"/>
                <w:color w:val="1A1A1A"/>
                <w:sz w:val="19"/>
                <w:szCs w:val="19"/>
              </w:rPr>
              <w:t xml:space="preserve">Coordinateur national
(NATIONAL_COORDINATOR)</w:t>
            </w:r>
          </w:p>
        </w:tc>
        <w:tc>
          <w:tcPr>
            <w:tcW w:type="pct" w:w="14%"/>
            <w:tcMar>
              <w:top w:type="dxa" w:w="80"/>
              <w:left w:type="dxa" w:w="100"/>
              <w:bottom w:type="dxa" w:w="80"/>
              <w:right w:type="dxa" w:w="100"/>
            </w:tcMar>
            <w:vAlign w:val="center"/>
          </w:tcPr>
          <w:p>
            <w:r>
              <w:rPr>
                <w:b w:val="false"/>
                <w:bCs w:val="false"/>
                <w:color w:val="1A1A1A"/>
                <w:sz w:val="19"/>
                <w:szCs w:val="19"/>
              </w:rPr>
              <w:t xml:space="preserve">Nationale — voit tous les dossiers de tout le pays</w:t>
            </w:r>
          </w:p>
        </w:tc>
        <w:tc>
          <w:tcPr>
            <w:tcW w:type="pct" w:w="38%"/>
            <w:tcMar>
              <w:top w:type="dxa" w:w="80"/>
              <w:left w:type="dxa" w:w="100"/>
              <w:bottom w:type="dxa" w:w="80"/>
              <w:right w:type="dxa" w:w="100"/>
            </w:tcMar>
            <w:vAlign w:val="center"/>
          </w:tcPr>
          <w:p>
            <w:r>
              <w:rPr>
                <w:b w:val="false"/>
                <w:bCs w:val="false"/>
                <w:color w:val="1A1A1A"/>
                <w:sz w:val="19"/>
                <w:szCs w:val="19"/>
              </w:rPr>
              <w:t xml:space="preserve">Triage, changement de statut, assignation, définition de sévérité, gestion de toutes les organisations et programmes, proposition ET approbation de récompense, rédaction ET publication d'advisory, consultation du journal d'audit, tableaux de bord, export, import CSAF, et création/gestion de tous les autres comptes utilisateurs.</w:t>
            </w:r>
          </w:p>
        </w:tc>
        <w:tc>
          <w:tcPr>
            <w:tcW w:type="pct" w:w="24%"/>
            <w:tcMar>
              <w:top w:type="dxa" w:w="80"/>
              <w:left w:type="dxa" w:w="100"/>
              <w:bottom w:type="dxa" w:w="80"/>
              <w:right w:type="dxa" w:w="100"/>
            </w:tcMar>
            <w:vAlign w:val="center"/>
          </w:tcPr>
          <w:p>
            <w:r>
              <w:rPr>
                <w:b w:val="false"/>
                <w:bCs w:val="false"/>
                <w:color w:val="1A1A1A"/>
                <w:sz w:val="19"/>
                <w:szCs w:val="19"/>
              </w:rPr>
              <w:t xml:space="preserve">Par un Super-admin ou un autre Coordinateur, via Utilisateurs → Créer un compte.</w:t>
            </w:r>
          </w:p>
        </w:tc>
        <w:tc>
          <w:tcPr>
            <w:tcW w:type="pct" w:w="8%"/>
            <w:tcMar>
              <w:top w:type="dxa" w:w="80"/>
              <w:left w:type="dxa" w:w="100"/>
              <w:bottom w:type="dxa" w:w="80"/>
              <w:right w:type="dxa" w:w="100"/>
            </w:tcMar>
            <w:vAlign w:val="center"/>
          </w:tcPr>
          <w:p>
            <w:r>
              <w:rPr>
                <w:b w:val="false"/>
                <w:bCs w:val="false"/>
                <w:color w:val="1A1A1A"/>
                <w:sz w:val="19"/>
                <w:szCs w:val="19"/>
              </w:rPr>
              <w:t xml:space="preserve">Oui</w:t>
            </w:r>
          </w:p>
        </w:tc>
      </w:tr>
      <w:tr>
        <w:tc>
          <w:tcPr>
            <w:tcW w:type="pct" w:w="16%"/>
            <w:tcMar>
              <w:top w:type="dxa" w:w="80"/>
              <w:left w:type="dxa" w:w="100"/>
              <w:bottom w:type="dxa" w:w="80"/>
              <w:right w:type="dxa" w:w="100"/>
            </w:tcMar>
            <w:vAlign w:val="center"/>
          </w:tcPr>
          <w:p>
            <w:r>
              <w:rPr>
                <w:b w:val="false"/>
                <w:bCs w:val="false"/>
                <w:color w:val="1A1A1A"/>
                <w:sz w:val="19"/>
                <w:szCs w:val="19"/>
              </w:rPr>
              <w:t xml:space="preserve">Analyste CSIRT
(CSIRT_ANALYST)</w:t>
            </w:r>
          </w:p>
        </w:tc>
        <w:tc>
          <w:tcPr>
            <w:tcW w:type="pct" w:w="14%"/>
            <w:tcMar>
              <w:top w:type="dxa" w:w="80"/>
              <w:left w:type="dxa" w:w="100"/>
              <w:bottom w:type="dxa" w:w="80"/>
              <w:right w:type="dxa" w:w="100"/>
            </w:tcMar>
            <w:vAlign w:val="center"/>
          </w:tcPr>
          <w:p>
            <w:r>
              <w:rPr>
                <w:b w:val="false"/>
                <w:bCs w:val="false"/>
                <w:color w:val="1A1A1A"/>
                <w:sz w:val="19"/>
                <w:szCs w:val="19"/>
              </w:rPr>
              <w:t xml:space="preserve">Nationale — voit tous les dossiers</w:t>
            </w:r>
          </w:p>
        </w:tc>
        <w:tc>
          <w:tcPr>
            <w:tcW w:type="pct" w:w="38%"/>
            <w:tcMar>
              <w:top w:type="dxa" w:w="80"/>
              <w:left w:type="dxa" w:w="100"/>
              <w:bottom w:type="dxa" w:w="80"/>
              <w:right w:type="dxa" w:w="100"/>
            </w:tcMar>
            <w:vAlign w:val="center"/>
          </w:tcPr>
          <w:p>
            <w:r>
              <w:rPr>
                <w:b w:val="false"/>
                <w:bCs w:val="false"/>
                <w:color w:val="1A1A1A"/>
                <w:sz w:val="19"/>
                <w:szCs w:val="19"/>
              </w:rPr>
              <w:t xml:space="preserve">Triage, changement de statut, assignation, sévérité, gestion de programme, proposition de récompense (pas l'approbation), rédaction d'advisory (pas la publication), tableau de bord CSIRT, export, import CSAF.</w:t>
            </w:r>
          </w:p>
        </w:tc>
        <w:tc>
          <w:tcPr>
            <w:tcW w:type="pct" w:w="24%"/>
            <w:tcMar>
              <w:top w:type="dxa" w:w="80"/>
              <w:left w:type="dxa" w:w="100"/>
              <w:bottom w:type="dxa" w:w="80"/>
              <w:right w:type="dxa" w:w="100"/>
            </w:tcMar>
            <w:vAlign w:val="center"/>
          </w:tcPr>
          <w:p>
            <w:r>
              <w:rPr>
                <w:b w:val="false"/>
                <w:bCs w:val="false"/>
                <w:color w:val="1A1A1A"/>
                <w:sz w:val="19"/>
                <w:szCs w:val="19"/>
              </w:rPr>
              <w:t xml:space="preserve">Par un Super-admin ou un Coordinateur national, via Utilisateurs → Créer un compte.</w:t>
            </w:r>
          </w:p>
        </w:tc>
        <w:tc>
          <w:tcPr>
            <w:tcW w:type="pct" w:w="8%"/>
            <w:tcMar>
              <w:top w:type="dxa" w:w="80"/>
              <w:left w:type="dxa" w:w="100"/>
              <w:bottom w:type="dxa" w:w="80"/>
              <w:right w:type="dxa" w:w="100"/>
            </w:tcMar>
            <w:vAlign w:val="center"/>
          </w:tcPr>
          <w:p>
            <w:r>
              <w:rPr>
                <w:b w:val="false"/>
                <w:bCs w:val="false"/>
                <w:color w:val="1A1A1A"/>
                <w:sz w:val="19"/>
                <w:szCs w:val="19"/>
              </w:rPr>
              <w:t xml:space="preserve">Oui</w:t>
            </w:r>
          </w:p>
        </w:tc>
      </w:tr>
      <w:tr>
        <w:tc>
          <w:tcPr>
            <w:tcW w:type="pct" w:w="16%"/>
            <w:tcMar>
              <w:top w:type="dxa" w:w="80"/>
              <w:left w:type="dxa" w:w="100"/>
              <w:bottom w:type="dxa" w:w="80"/>
              <w:right w:type="dxa" w:w="100"/>
            </w:tcMar>
            <w:vAlign w:val="center"/>
          </w:tcPr>
          <w:p>
            <w:r>
              <w:rPr>
                <w:b w:val="false"/>
                <w:bCs w:val="false"/>
                <w:color w:val="1A1A1A"/>
                <w:sz w:val="19"/>
                <w:szCs w:val="19"/>
              </w:rPr>
              <w:t xml:space="preserve">Agent de triage
(TRIAGER)</w:t>
            </w:r>
          </w:p>
        </w:tc>
        <w:tc>
          <w:tcPr>
            <w:tcW w:type="pct" w:w="14%"/>
            <w:tcMar>
              <w:top w:type="dxa" w:w="80"/>
              <w:left w:type="dxa" w:w="100"/>
              <w:bottom w:type="dxa" w:w="80"/>
              <w:right w:type="dxa" w:w="100"/>
            </w:tcMar>
            <w:vAlign w:val="center"/>
          </w:tcPr>
          <w:p>
            <w:r>
              <w:rPr>
                <w:b w:val="false"/>
                <w:bCs w:val="false"/>
                <w:color w:val="1A1A1A"/>
                <w:sz w:val="19"/>
                <w:szCs w:val="19"/>
              </w:rPr>
              <w:t xml:space="preserve">Nationale — voit tous les dossiers</w:t>
            </w:r>
          </w:p>
        </w:tc>
        <w:tc>
          <w:tcPr>
            <w:tcW w:type="pct" w:w="38%"/>
            <w:tcMar>
              <w:top w:type="dxa" w:w="80"/>
              <w:left w:type="dxa" w:w="100"/>
              <w:bottom w:type="dxa" w:w="80"/>
              <w:right w:type="dxa" w:w="100"/>
            </w:tcMar>
            <w:vAlign w:val="center"/>
          </w:tcPr>
          <w:p>
            <w:r>
              <w:rPr>
                <w:b w:val="false"/>
                <w:bCs w:val="false"/>
                <w:color w:val="1A1A1A"/>
                <w:sz w:val="19"/>
                <w:szCs w:val="19"/>
              </w:rPr>
              <w:t xml:space="preserve">Triage initial, changement de statut, sévérité, messagerie interne, tableau de bord CSIRT. Pas de gestion de programme ni de récompense.</w:t>
            </w:r>
          </w:p>
        </w:tc>
        <w:tc>
          <w:tcPr>
            <w:tcW w:type="pct" w:w="24%"/>
            <w:tcMar>
              <w:top w:type="dxa" w:w="80"/>
              <w:left w:type="dxa" w:w="100"/>
              <w:bottom w:type="dxa" w:w="80"/>
              <w:right w:type="dxa" w:w="100"/>
            </w:tcMar>
            <w:vAlign w:val="center"/>
          </w:tcPr>
          <w:p>
            <w:r>
              <w:rPr>
                <w:b w:val="false"/>
                <w:bCs w:val="false"/>
                <w:color w:val="1A1A1A"/>
                <w:sz w:val="19"/>
                <w:szCs w:val="19"/>
              </w:rPr>
              <w:t xml:space="preserve">Par un Super-admin ou un Coordinateur national, via Utilisateurs → Créer un compte.</w:t>
            </w:r>
          </w:p>
        </w:tc>
        <w:tc>
          <w:tcPr>
            <w:tcW w:type="pct" w:w="8%"/>
            <w:tcMar>
              <w:top w:type="dxa" w:w="80"/>
              <w:left w:type="dxa" w:w="100"/>
              <w:bottom w:type="dxa" w:w="80"/>
              <w:right w:type="dxa" w:w="100"/>
            </w:tcMar>
            <w:vAlign w:val="center"/>
          </w:tcPr>
          <w:p>
            <w:r>
              <w:rPr>
                <w:b w:val="false"/>
                <w:bCs w:val="false"/>
                <w:color w:val="1A1A1A"/>
                <w:sz w:val="19"/>
                <w:szCs w:val="19"/>
              </w:rPr>
              <w:t xml:space="preserve">Oui</w:t>
            </w:r>
          </w:p>
        </w:tc>
      </w:tr>
      <w:tr>
        <w:tc>
          <w:tcPr>
            <w:tcW w:type="pct" w:w="16%"/>
            <w:tcMar>
              <w:top w:type="dxa" w:w="80"/>
              <w:left w:type="dxa" w:w="100"/>
              <w:bottom w:type="dxa" w:w="80"/>
              <w:right w:type="dxa" w:w="100"/>
            </w:tcMar>
            <w:vAlign w:val="center"/>
          </w:tcPr>
          <w:p>
            <w:r>
              <w:rPr>
                <w:b w:val="false"/>
                <w:bCs w:val="false"/>
                <w:color w:val="1A1A1A"/>
                <w:sz w:val="19"/>
                <w:szCs w:val="19"/>
              </w:rPr>
              <w:t xml:space="preserve">Auditeur
(AUDITOR)</w:t>
            </w:r>
          </w:p>
        </w:tc>
        <w:tc>
          <w:tcPr>
            <w:tcW w:type="pct" w:w="14%"/>
            <w:tcMar>
              <w:top w:type="dxa" w:w="80"/>
              <w:left w:type="dxa" w:w="100"/>
              <w:bottom w:type="dxa" w:w="80"/>
              <w:right w:type="dxa" w:w="100"/>
            </w:tcMar>
            <w:vAlign w:val="center"/>
          </w:tcPr>
          <w:p>
            <w:r>
              <w:rPr>
                <w:b w:val="false"/>
                <w:bCs w:val="false"/>
                <w:color w:val="1A1A1A"/>
                <w:sz w:val="19"/>
                <w:szCs w:val="19"/>
              </w:rPr>
              <w:t xml:space="preserve">Nationale — voit tous les dossiers, en LECTURE SEULE</w:t>
            </w:r>
          </w:p>
        </w:tc>
        <w:tc>
          <w:tcPr>
            <w:tcW w:type="pct" w:w="38%"/>
            <w:tcMar>
              <w:top w:type="dxa" w:w="80"/>
              <w:left w:type="dxa" w:w="100"/>
              <w:bottom w:type="dxa" w:w="80"/>
              <w:right w:type="dxa" w:w="100"/>
            </w:tcMar>
            <w:vAlign w:val="center"/>
          </w:tcPr>
          <w:p>
            <w:r>
              <w:rPr>
                <w:b w:val="false"/>
                <w:bCs w:val="false"/>
                <w:color w:val="1A1A1A"/>
                <w:sz w:val="19"/>
                <w:szCs w:val="19"/>
              </w:rPr>
              <w:t xml:space="preserve">Consultation uniquement : tous les dossiers, journal d'audit, tableaux de bord, export. Aucune écriture métier possible (rôle explicitement marqué « lecture seule » dans le code).</w:t>
            </w:r>
          </w:p>
        </w:tc>
        <w:tc>
          <w:tcPr>
            <w:tcW w:type="pct" w:w="24%"/>
            <w:tcMar>
              <w:top w:type="dxa" w:w="80"/>
              <w:left w:type="dxa" w:w="100"/>
              <w:bottom w:type="dxa" w:w="80"/>
              <w:right w:type="dxa" w:w="100"/>
            </w:tcMar>
            <w:vAlign w:val="center"/>
          </w:tcPr>
          <w:p>
            <w:r>
              <w:rPr>
                <w:b w:val="false"/>
                <w:bCs w:val="false"/>
                <w:color w:val="1A1A1A"/>
                <w:sz w:val="19"/>
                <w:szCs w:val="19"/>
              </w:rPr>
              <w:t xml:space="preserve">Par un Super-admin ou un Coordinateur national, via Utilisateurs → Créer un compte.</w:t>
            </w:r>
          </w:p>
        </w:tc>
        <w:tc>
          <w:tcPr>
            <w:tcW w:type="pct" w:w="8%"/>
            <w:tcMar>
              <w:top w:type="dxa" w:w="80"/>
              <w:left w:type="dxa" w:w="100"/>
              <w:bottom w:type="dxa" w:w="80"/>
              <w:right w:type="dxa" w:w="100"/>
            </w:tcMar>
            <w:vAlign w:val="center"/>
          </w:tcPr>
          <w:p>
            <w:r>
              <w:rPr>
                <w:b w:val="false"/>
                <w:bCs w:val="false"/>
                <w:color w:val="1A1A1A"/>
                <w:sz w:val="19"/>
                <w:szCs w:val="19"/>
              </w:rPr>
              <w:t xml:space="preserve">Oui</w:t>
            </w:r>
          </w:p>
        </w:tc>
      </w:tr>
      <w:tr>
        <w:tc>
          <w:tcPr>
            <w:tcW w:type="pct" w:w="16%"/>
            <w:tcMar>
              <w:top w:type="dxa" w:w="80"/>
              <w:left w:type="dxa" w:w="100"/>
              <w:bottom w:type="dxa" w:w="80"/>
              <w:right w:type="dxa" w:w="100"/>
            </w:tcMar>
            <w:vAlign w:val="center"/>
          </w:tcPr>
          <w:p>
            <w:r>
              <w:rPr>
                <w:b w:val="false"/>
                <w:bCs w:val="false"/>
                <w:color w:val="1A1A1A"/>
                <w:sz w:val="19"/>
                <w:szCs w:val="19"/>
              </w:rPr>
              <w:t xml:space="preserve">Administrateur DSI
(DSI_ADMIN)</w:t>
            </w:r>
          </w:p>
        </w:tc>
        <w:tc>
          <w:tcPr>
            <w:tcW w:type="pct" w:w="14%"/>
            <w:tcMar>
              <w:top w:type="dxa" w:w="80"/>
              <w:left w:type="dxa" w:w="100"/>
              <w:bottom w:type="dxa" w:w="80"/>
              <w:right w:type="dxa" w:w="100"/>
            </w:tcMar>
            <w:vAlign w:val="center"/>
          </w:tcPr>
          <w:p>
            <w:r>
              <w:rPr>
                <w:b w:val="false"/>
                <w:bCs w:val="false"/>
                <w:color w:val="1A1A1A"/>
                <w:sz w:val="19"/>
                <w:szCs w:val="19"/>
              </w:rPr>
              <w:t xml:space="preserve">Organisation — limitée à son/ses organisation(s)</w:t>
            </w:r>
          </w:p>
        </w:tc>
        <w:tc>
          <w:tcPr>
            <w:tcW w:type="pct" w:w="38%"/>
            <w:tcMar>
              <w:top w:type="dxa" w:w="80"/>
              <w:left w:type="dxa" w:w="100"/>
              <w:bottom w:type="dxa" w:w="80"/>
              <w:right w:type="dxa" w:w="100"/>
            </w:tcMar>
            <w:vAlign w:val="center"/>
          </w:tcPr>
          <w:p>
            <w:r>
              <w:rPr>
                <w:b w:val="false"/>
                <w:bCs w:val="false"/>
                <w:color w:val="1A1A1A"/>
                <w:sz w:val="19"/>
                <w:szCs w:val="19"/>
              </w:rPr>
              <w:t xml:space="preserve">Dossiers de son organisation, changement de statut, messagerie interne, gestion de son organisation et de ses programmes, proposition de récompense, export.</w:t>
            </w:r>
          </w:p>
        </w:tc>
        <w:tc>
          <w:tcPr>
            <w:tcW w:type="pct" w:w="24%"/>
            <w:tcMar>
              <w:top w:type="dxa" w:w="80"/>
              <w:left w:type="dxa" w:w="100"/>
              <w:bottom w:type="dxa" w:w="80"/>
              <w:right w:type="dxa" w:w="100"/>
            </w:tcMar>
            <w:vAlign w:val="center"/>
          </w:tcPr>
          <w:p>
            <w:r>
              <w:rPr>
                <w:b w:val="false"/>
                <w:bCs w:val="false"/>
                <w:color w:val="1A1A1A"/>
                <w:sz w:val="19"/>
                <w:szCs w:val="19"/>
              </w:rPr>
              <w:t xml:space="preserve">Via Organisations → [nom] → Ajouter un membre (voir §5.3) — ou promotion manuelle d'un ORGANIZATION_MANAGER existant par un Coordinateur/Super-admin.</w:t>
            </w:r>
          </w:p>
        </w:tc>
        <w:tc>
          <w:tcPr>
            <w:tcW w:type="pct" w:w="8%"/>
            <w:tcMar>
              <w:top w:type="dxa" w:w="80"/>
              <w:left w:type="dxa" w:w="100"/>
              <w:bottom w:type="dxa" w:w="80"/>
              <w:right w:type="dxa" w:w="100"/>
            </w:tcMar>
            <w:vAlign w:val="center"/>
          </w:tcPr>
          <w:p>
            <w:r>
              <w:rPr>
                <w:b w:val="false"/>
                <w:bCs w:val="false"/>
                <w:color w:val="1A1A1A"/>
                <w:sz w:val="19"/>
                <w:szCs w:val="19"/>
              </w:rPr>
              <w:t xml:space="preserve">Oui</w:t>
            </w:r>
          </w:p>
        </w:tc>
      </w:tr>
      <w:tr>
        <w:tc>
          <w:tcPr>
            <w:tcW w:type="pct" w:w="16%"/>
            <w:tcMar>
              <w:top w:type="dxa" w:w="80"/>
              <w:left w:type="dxa" w:w="100"/>
              <w:bottom w:type="dxa" w:w="80"/>
              <w:right w:type="dxa" w:w="100"/>
            </w:tcMar>
            <w:vAlign w:val="center"/>
          </w:tcPr>
          <w:p>
            <w:r>
              <w:rPr>
                <w:b w:val="false"/>
                <w:bCs w:val="false"/>
                <w:color w:val="1A1A1A"/>
                <w:sz w:val="19"/>
                <w:szCs w:val="19"/>
              </w:rPr>
              <w:t xml:space="preserve">Responsable d'organisation
(ORGANIZATION_MANAGER)</w:t>
            </w:r>
          </w:p>
        </w:tc>
        <w:tc>
          <w:tcPr>
            <w:tcW w:type="pct" w:w="14%"/>
            <w:tcMar>
              <w:top w:type="dxa" w:w="80"/>
              <w:left w:type="dxa" w:w="100"/>
              <w:bottom w:type="dxa" w:w="80"/>
              <w:right w:type="dxa" w:w="100"/>
            </w:tcMar>
            <w:vAlign w:val="center"/>
          </w:tcPr>
          <w:p>
            <w:r>
              <w:rPr>
                <w:b w:val="false"/>
                <w:bCs w:val="false"/>
                <w:color w:val="1A1A1A"/>
                <w:sz w:val="19"/>
                <w:szCs w:val="19"/>
              </w:rPr>
              <w:t xml:space="preserve">Organisation — limitée à son/ses organisation(s)</w:t>
            </w:r>
          </w:p>
        </w:tc>
        <w:tc>
          <w:tcPr>
            <w:tcW w:type="pct" w:w="38%"/>
            <w:tcMar>
              <w:top w:type="dxa" w:w="80"/>
              <w:left w:type="dxa" w:w="100"/>
              <w:bottom w:type="dxa" w:w="80"/>
              <w:right w:type="dxa" w:w="100"/>
            </w:tcMar>
            <w:vAlign w:val="center"/>
          </w:tcPr>
          <w:p>
            <w:r>
              <w:rPr>
                <w:b w:val="false"/>
                <w:bCs w:val="false"/>
                <w:color w:val="1A1A1A"/>
                <w:sz w:val="19"/>
                <w:szCs w:val="19"/>
              </w:rPr>
              <w:t xml:space="preserve">Identique à Administrateur DSI (mêmes capacités dans le code actuel) : dossiers, statut, messagerie, gestion d'organisation et de programme, proposition de récompense, export.</w:t>
            </w:r>
          </w:p>
        </w:tc>
        <w:tc>
          <w:tcPr>
            <w:tcW w:type="pct" w:w="24%"/>
            <w:tcMar>
              <w:top w:type="dxa" w:w="80"/>
              <w:left w:type="dxa" w:w="100"/>
              <w:bottom w:type="dxa" w:w="80"/>
              <w:right w:type="dxa" w:w="100"/>
            </w:tcMar>
            <w:vAlign w:val="center"/>
          </w:tcPr>
          <w:p>
            <w:r>
              <w:rPr>
                <w:b w:val="false"/>
                <w:bCs w:val="false"/>
                <w:color w:val="1A1A1A"/>
                <w:sz w:val="19"/>
                <w:szCs w:val="19"/>
              </w:rPr>
              <w:t xml:space="preserve">Rôle attribué AUTOMATIQUEMENT par le système lors d'une invitation via Organisations → [nom] → Ajouter un membre, si l'email n'a pas encore de compte.</w:t>
            </w:r>
          </w:p>
        </w:tc>
        <w:tc>
          <w:tcPr>
            <w:tcW w:type="pct" w:w="8%"/>
            <w:tcMar>
              <w:top w:type="dxa" w:w="80"/>
              <w:left w:type="dxa" w:w="100"/>
              <w:bottom w:type="dxa" w:w="80"/>
              <w:right w:type="dxa" w:w="100"/>
            </w:tcMar>
            <w:vAlign w:val="center"/>
          </w:tcPr>
          <w:p>
            <w:r>
              <w:rPr>
                <w:b w:val="false"/>
                <w:bCs w:val="false"/>
                <w:color w:val="1A1A1A"/>
                <w:sz w:val="19"/>
                <w:szCs w:val="19"/>
              </w:rPr>
              <w:t xml:space="preserve">Oui</w:t>
            </w:r>
          </w:p>
        </w:tc>
      </w:tr>
      <w:tr>
        <w:tc>
          <w:tcPr>
            <w:tcW w:type="pct" w:w="16%"/>
            <w:tcMar>
              <w:top w:type="dxa" w:w="80"/>
              <w:left w:type="dxa" w:w="100"/>
              <w:bottom w:type="dxa" w:w="80"/>
              <w:right w:type="dxa" w:w="100"/>
            </w:tcMar>
            <w:vAlign w:val="center"/>
          </w:tcPr>
          <w:p>
            <w:r>
              <w:rPr>
                <w:b w:val="false"/>
                <w:bCs w:val="false"/>
                <w:color w:val="1A1A1A"/>
                <w:sz w:val="19"/>
                <w:szCs w:val="19"/>
              </w:rPr>
              <w:t xml:space="preserve">Chercheur en sécurité
(SECURITY_RESEARCHER)</w:t>
            </w:r>
          </w:p>
        </w:tc>
        <w:tc>
          <w:tcPr>
            <w:tcW w:type="pct" w:w="14%"/>
            <w:tcMar>
              <w:top w:type="dxa" w:w="80"/>
              <w:left w:type="dxa" w:w="100"/>
              <w:bottom w:type="dxa" w:w="80"/>
              <w:right w:type="dxa" w:w="100"/>
            </w:tcMar>
            <w:vAlign w:val="center"/>
          </w:tcPr>
          <w:p>
            <w:r>
              <w:rPr>
                <w:b w:val="false"/>
                <w:bCs w:val="false"/>
                <w:color w:val="1A1A1A"/>
                <w:sz w:val="19"/>
                <w:szCs w:val="19"/>
              </w:rPr>
              <w:t xml:space="preserve">Personnelle — voit uniquement ses propres dossiers soumis</w:t>
            </w:r>
          </w:p>
        </w:tc>
        <w:tc>
          <w:tcPr>
            <w:tcW w:type="pct" w:w="38%"/>
            <w:tcMar>
              <w:top w:type="dxa" w:w="80"/>
              <w:left w:type="dxa" w:w="100"/>
              <w:bottom w:type="dxa" w:w="80"/>
              <w:right w:type="dxa" w:w="100"/>
            </w:tcMar>
            <w:vAlign w:val="center"/>
          </w:tcPr>
          <w:p>
            <w:r>
              <w:rPr>
                <w:b w:val="false"/>
                <w:bCs w:val="false"/>
                <w:color w:val="1A1A1A"/>
                <w:sz w:val="19"/>
                <w:szCs w:val="19"/>
              </w:rPr>
              <w:t xml:space="preserve">Soumettre un signalement (VDP). Aucune vision sur les dossiers des autres, aucun accès interne.</w:t>
            </w:r>
          </w:p>
        </w:tc>
        <w:tc>
          <w:tcPr>
            <w:tcW w:type="pct" w:w="24%"/>
            <w:tcMar>
              <w:top w:type="dxa" w:w="80"/>
              <w:left w:type="dxa" w:w="100"/>
              <w:bottom w:type="dxa" w:w="80"/>
              <w:right w:type="dxa" w:w="100"/>
            </w:tcMar>
            <w:vAlign w:val="center"/>
          </w:tcPr>
          <w:p>
            <w:r>
              <w:rPr>
                <w:b w:val="false"/>
                <w:bCs w:val="false"/>
                <w:color w:val="1A1A1A"/>
                <w:sz w:val="19"/>
                <w:szCs w:val="19"/>
              </w:rPr>
              <w:t xml:space="preserve">Auto-inscription publique (page d'inscription), aucune validation préalable requise.</w:t>
            </w:r>
          </w:p>
        </w:tc>
        <w:tc>
          <w:tcPr>
            <w:tcW w:type="pct" w:w="8%"/>
            <w:tcMar>
              <w:top w:type="dxa" w:w="80"/>
              <w:left w:type="dxa" w:w="100"/>
              <w:bottom w:type="dxa" w:w="80"/>
              <w:right w:type="dxa" w:w="100"/>
            </w:tcMar>
            <w:vAlign w:val="center"/>
          </w:tcPr>
          <w:p>
            <w:r>
              <w:rPr>
                <w:b w:val="false"/>
                <w:bCs w:val="false"/>
                <w:color w:val="1A1A1A"/>
                <w:sz w:val="19"/>
                <w:szCs w:val="19"/>
              </w:rPr>
              <w:t xml:space="preserve">Non</w:t>
            </w:r>
          </w:p>
        </w:tc>
      </w:tr>
      <w:tr>
        <w:tc>
          <w:tcPr>
            <w:tcW w:type="pct" w:w="16%"/>
            <w:tcMar>
              <w:top w:type="dxa" w:w="80"/>
              <w:left w:type="dxa" w:w="100"/>
              <w:bottom w:type="dxa" w:w="80"/>
              <w:right w:type="dxa" w:w="100"/>
            </w:tcMar>
            <w:vAlign w:val="center"/>
          </w:tcPr>
          <w:p>
            <w:r>
              <w:rPr>
                <w:b w:val="false"/>
                <w:bCs w:val="false"/>
                <w:color w:val="1A1A1A"/>
                <w:sz w:val="19"/>
                <w:szCs w:val="19"/>
              </w:rPr>
              <w:t xml:space="preserve">Chercheur Bug Bounty
(BUG_BOUNTY_RESEARCHER)</w:t>
            </w:r>
          </w:p>
        </w:tc>
        <w:tc>
          <w:tcPr>
            <w:tcW w:type="pct" w:w="14%"/>
            <w:tcMar>
              <w:top w:type="dxa" w:w="80"/>
              <w:left w:type="dxa" w:w="100"/>
              <w:bottom w:type="dxa" w:w="80"/>
              <w:right w:type="dxa" w:w="100"/>
            </w:tcMar>
            <w:vAlign w:val="center"/>
          </w:tcPr>
          <w:p>
            <w:r>
              <w:rPr>
                <w:b w:val="false"/>
                <w:bCs w:val="false"/>
                <w:color w:val="1A1A1A"/>
                <w:sz w:val="19"/>
                <w:szCs w:val="19"/>
              </w:rPr>
              <w:t xml:space="preserve">Personnelle — voit uniquement ses propres dossiers soumis</w:t>
            </w:r>
          </w:p>
        </w:tc>
        <w:tc>
          <w:tcPr>
            <w:tcW w:type="pct" w:w="38%"/>
            <w:tcMar>
              <w:top w:type="dxa" w:w="80"/>
              <w:left w:type="dxa" w:w="100"/>
              <w:bottom w:type="dxa" w:w="80"/>
              <w:right w:type="dxa" w:w="100"/>
            </w:tcMar>
            <w:vAlign w:val="center"/>
          </w:tcPr>
          <w:p>
            <w:r>
              <w:rPr>
                <w:b w:val="false"/>
                <w:bCs w:val="false"/>
                <w:color w:val="1A1A1A"/>
                <w:sz w:val="19"/>
                <w:szCs w:val="19"/>
              </w:rPr>
              <w:t xml:space="preserve">Identique à Chercheur en sécurité, avec éligibilité aux programmes Bug Bounty rémunérés (email vérifié obligatoire avant soumission à un programme avec récompense).</w:t>
            </w:r>
          </w:p>
        </w:tc>
        <w:tc>
          <w:tcPr>
            <w:tcW w:type="pct" w:w="24%"/>
            <w:tcMar>
              <w:top w:type="dxa" w:w="80"/>
              <w:left w:type="dxa" w:w="100"/>
              <w:bottom w:type="dxa" w:w="80"/>
              <w:right w:type="dxa" w:w="100"/>
            </w:tcMar>
            <w:vAlign w:val="center"/>
          </w:tcPr>
          <w:p>
            <w:r>
              <w:rPr>
                <w:b w:val="false"/>
                <w:bCs w:val="false"/>
                <w:color w:val="1A1A1A"/>
                <w:sz w:val="19"/>
                <w:szCs w:val="19"/>
              </w:rPr>
              <w:t xml:space="preserve">Auto-inscription publique — choix explicite de ce type de compte dans le formulaire d'inscription (menu déroulant « Type de compte »).</w:t>
            </w:r>
          </w:p>
        </w:tc>
        <w:tc>
          <w:tcPr>
            <w:tcW w:type="pct" w:w="8%"/>
            <w:tcMar>
              <w:top w:type="dxa" w:w="80"/>
              <w:left w:type="dxa" w:w="100"/>
              <w:bottom w:type="dxa" w:w="80"/>
              <w:right w:type="dxa" w:w="100"/>
            </w:tcMar>
            <w:vAlign w:val="center"/>
          </w:tcPr>
          <w:p>
            <w:r>
              <w:rPr>
                <w:b w:val="false"/>
                <w:bCs w:val="false"/>
                <w:color w:val="1A1A1A"/>
                <w:sz w:val="19"/>
                <w:szCs w:val="19"/>
              </w:rPr>
              <w:t xml:space="preserve">Non</w:t>
            </w:r>
          </w:p>
        </w:tc>
      </w:tr>
      <w:tr>
        <w:tc>
          <w:tcPr>
            <w:tcW w:type="pct" w:w="16%"/>
            <w:tcMar>
              <w:top w:type="dxa" w:w="80"/>
              <w:left w:type="dxa" w:w="100"/>
              <w:bottom w:type="dxa" w:w="80"/>
              <w:right w:type="dxa" w:w="100"/>
            </w:tcMar>
            <w:vAlign w:val="center"/>
          </w:tcPr>
          <w:p>
            <w:r>
              <w:rPr>
                <w:b w:val="false"/>
                <w:bCs w:val="false"/>
                <w:color w:val="1A1A1A"/>
                <w:sz w:val="19"/>
                <w:szCs w:val="19"/>
              </w:rPr>
              <w:t xml:space="preserve">Utilisateur public
(PUBLIC_USER)</w:t>
            </w:r>
          </w:p>
        </w:tc>
        <w:tc>
          <w:tcPr>
            <w:tcW w:type="pct" w:w="14%"/>
            <w:tcMar>
              <w:top w:type="dxa" w:w="80"/>
              <w:left w:type="dxa" w:w="100"/>
              <w:bottom w:type="dxa" w:w="80"/>
              <w:right w:type="dxa" w:w="100"/>
            </w:tcMar>
            <w:vAlign w:val="center"/>
          </w:tcPr>
          <w:p>
            <w:r>
              <w:rPr>
                <w:b w:val="false"/>
                <w:bCs w:val="false"/>
                <w:color w:val="1A1A1A"/>
                <w:sz w:val="19"/>
                <w:szCs w:val="19"/>
              </w:rPr>
              <w:t xml:space="preserve">Personnelle — minimal</w:t>
            </w:r>
          </w:p>
        </w:tc>
        <w:tc>
          <w:tcPr>
            <w:tcW w:type="pct" w:w="38%"/>
            <w:tcMar>
              <w:top w:type="dxa" w:w="80"/>
              <w:left w:type="dxa" w:w="100"/>
              <w:bottom w:type="dxa" w:w="80"/>
              <w:right w:type="dxa" w:w="100"/>
            </w:tcMar>
            <w:vAlign w:val="center"/>
          </w:tcPr>
          <w:p>
            <w:r>
              <w:rPr>
                <w:b w:val="false"/>
                <w:bCs w:val="false"/>
                <w:color w:val="1A1A1A"/>
                <w:sz w:val="19"/>
                <w:szCs w:val="19"/>
              </w:rPr>
              <w:t xml:space="preserve">Peut soumettre un signalement. Rôle par défaut technique du modèle, non proposé à l'inscription publique (les deux rôles Chercheur ci-dessus sont utilisés à la place).</w:t>
            </w:r>
          </w:p>
        </w:tc>
        <w:tc>
          <w:tcPr>
            <w:tcW w:type="pct" w:w="24%"/>
            <w:tcMar>
              <w:top w:type="dxa" w:w="80"/>
              <w:left w:type="dxa" w:w="100"/>
              <w:bottom w:type="dxa" w:w="80"/>
              <w:right w:type="dxa" w:w="100"/>
            </w:tcMar>
            <w:vAlign w:val="center"/>
          </w:tcPr>
          <w:p>
            <w:r>
              <w:rPr>
                <w:b w:val="false"/>
                <w:bCs w:val="false"/>
                <w:color w:val="1A1A1A"/>
                <w:sz w:val="19"/>
                <w:szCs w:val="19"/>
              </w:rPr>
              <w:t xml:space="preserve">Non attribuable en libre-service ; existe surtout comme valeur par défaut interne.</w:t>
            </w:r>
          </w:p>
        </w:tc>
        <w:tc>
          <w:tcPr>
            <w:tcW w:type="pct" w:w="8%"/>
            <w:tcMar>
              <w:top w:type="dxa" w:w="80"/>
              <w:left w:type="dxa" w:w="100"/>
              <w:bottom w:type="dxa" w:w="80"/>
              <w:right w:type="dxa" w:w="100"/>
            </w:tcMar>
            <w:vAlign w:val="center"/>
          </w:tcPr>
          <w:p>
            <w:r>
              <w:rPr>
                <w:b w:val="false"/>
                <w:bCs w:val="false"/>
                <w:color w:val="1A1A1A"/>
                <w:sz w:val="19"/>
                <w:szCs w:val="19"/>
              </w:rPr>
              <w:t xml:space="preserve">Non</w:t>
            </w:r>
          </w:p>
        </w:tc>
      </w:tr>
    </w:tbl>
    <w:p>
      <w:r>
        <w:br w:type="page"/>
      </w:r>
    </w:p>
    <w:p>
      <w:pPr>
        <w:pStyle w:val="Heading1"/>
        <w:pBdr>
          <w:bottom w:val="single" w:color="1E2761" w:sz="6" w:space="4"/>
        </w:pBdr>
        <w:spacing w:after="200" w:before="420"/>
      </w:pPr>
      <w:r>
        <w:rPr>
          <w:b/>
          <w:bCs/>
          <w:color w:val="1E2761"/>
          <w:sz w:val="30"/>
          <w:szCs w:val="30"/>
        </w:rPr>
        <w:t xml:space="preserve">3. Les capacités (droits atomiques)</w:t>
      </w:r>
    </w:p>
    <w:p>
      <w:pPr>
        <w:spacing w:after="160" w:line="300"/>
      </w:pPr>
      <w:r>
        <w:rPr>
          <w:color w:val="1A1A1A"/>
          <w:sz w:val="21"/>
          <w:szCs w:val="21"/>
        </w:rPr>
        <w:t xml:space="preserve">Liste complète des capacités définies dans le code. C'est cette liste, et uniquement elle, qui pilote les autorisations — jamais une vérification de rôle dispersée dans le code applicatif.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Capacité (constante)</w:t>
            </w:r>
          </w:p>
        </w:tc>
        <w:tc>
          <w:tcPr>
            <w:tcW w:type="pct" w:w="70%"/>
            <w:shd w:fill="1E2761" w:val="clear"/>
            <w:tcMar>
              <w:top w:type="dxa" w:w="80"/>
              <w:left w:type="dxa" w:w="100"/>
              <w:bottom w:type="dxa" w:w="80"/>
              <w:right w:type="dxa" w:w="100"/>
            </w:tcMar>
            <w:vAlign w:val="center"/>
          </w:tcPr>
          <w:p>
            <w:r>
              <w:rPr>
                <w:b/>
                <w:bCs/>
                <w:color w:val="FFFFFF"/>
                <w:sz w:val="19"/>
                <w:szCs w:val="19"/>
              </w:rPr>
              <w:t xml:space="preserve">Signification</w:t>
            </w:r>
          </w:p>
        </w:tc>
      </w:tr>
      <w:tr>
        <w:tc>
          <w:tcPr>
            <w:tcW w:type="pct" w:w="30%"/>
            <w:tcMar>
              <w:top w:type="dxa" w:w="80"/>
              <w:left w:type="dxa" w:w="100"/>
              <w:bottom w:type="dxa" w:w="80"/>
              <w:right w:type="dxa" w:w="100"/>
            </w:tcMar>
            <w:vAlign w:val="center"/>
          </w:tcPr>
          <w:p>
            <w:r>
              <w:rPr>
                <w:b w:val="false"/>
                <w:bCs w:val="false"/>
                <w:color w:val="1A1A1A"/>
                <w:sz w:val="19"/>
                <w:szCs w:val="19"/>
              </w:rPr>
              <w:t xml:space="preserve">VIEW_ALL_CASES</w:t>
            </w:r>
          </w:p>
        </w:tc>
        <w:tc>
          <w:tcPr>
            <w:tcW w:type="pct" w:w="70%"/>
            <w:tcMar>
              <w:top w:type="dxa" w:w="80"/>
              <w:left w:type="dxa" w:w="100"/>
              <w:bottom w:type="dxa" w:w="80"/>
              <w:right w:type="dxa" w:w="100"/>
            </w:tcMar>
            <w:vAlign w:val="center"/>
          </w:tcPr>
          <w:p>
            <w:r>
              <w:rPr>
                <w:b w:val="false"/>
                <w:bCs w:val="false"/>
                <w:color w:val="1A1A1A"/>
                <w:sz w:val="19"/>
                <w:szCs w:val="19"/>
              </w:rPr>
              <w:t xml:space="preserve">Voir tous les dossiers de la plateforme (tous organismes confondus)</w:t>
            </w:r>
          </w:p>
        </w:tc>
      </w:tr>
      <w:tr>
        <w:tc>
          <w:tcPr>
            <w:tcW w:type="pct" w:w="30%"/>
            <w:tcMar>
              <w:top w:type="dxa" w:w="80"/>
              <w:left w:type="dxa" w:w="100"/>
              <w:bottom w:type="dxa" w:w="80"/>
              <w:right w:type="dxa" w:w="100"/>
            </w:tcMar>
            <w:vAlign w:val="center"/>
          </w:tcPr>
          <w:p>
            <w:r>
              <w:rPr>
                <w:b w:val="false"/>
                <w:bCs w:val="false"/>
                <w:color w:val="1A1A1A"/>
                <w:sz w:val="19"/>
                <w:szCs w:val="19"/>
              </w:rPr>
              <w:t xml:space="preserve">VIEW_ORG_CASES</w:t>
            </w:r>
          </w:p>
        </w:tc>
        <w:tc>
          <w:tcPr>
            <w:tcW w:type="pct" w:w="70%"/>
            <w:tcMar>
              <w:top w:type="dxa" w:w="80"/>
              <w:left w:type="dxa" w:w="100"/>
              <w:bottom w:type="dxa" w:w="80"/>
              <w:right w:type="dxa" w:w="100"/>
            </w:tcMar>
            <w:vAlign w:val="center"/>
          </w:tcPr>
          <w:p>
            <w:r>
              <w:rPr>
                <w:b w:val="false"/>
                <w:bCs w:val="false"/>
                <w:color w:val="1A1A1A"/>
                <w:sz w:val="19"/>
                <w:szCs w:val="19"/>
              </w:rPr>
              <w:t xml:space="preserve">Voir uniquement les dossiers de sa/ses propre(s) organisation(s)</w:t>
            </w:r>
          </w:p>
        </w:tc>
      </w:tr>
      <w:tr>
        <w:tc>
          <w:tcPr>
            <w:tcW w:type="pct" w:w="30%"/>
            <w:tcMar>
              <w:top w:type="dxa" w:w="80"/>
              <w:left w:type="dxa" w:w="100"/>
              <w:bottom w:type="dxa" w:w="80"/>
              <w:right w:type="dxa" w:w="100"/>
            </w:tcMar>
            <w:vAlign w:val="center"/>
          </w:tcPr>
          <w:p>
            <w:r>
              <w:rPr>
                <w:b w:val="false"/>
                <w:bCs w:val="false"/>
                <w:color w:val="1A1A1A"/>
                <w:sz w:val="19"/>
                <w:szCs w:val="19"/>
              </w:rPr>
              <w:t xml:space="preserve">TRIAGE_CASE</w:t>
            </w:r>
          </w:p>
        </w:tc>
        <w:tc>
          <w:tcPr>
            <w:tcW w:type="pct" w:w="70%"/>
            <w:tcMar>
              <w:top w:type="dxa" w:w="80"/>
              <w:left w:type="dxa" w:w="100"/>
              <w:bottom w:type="dxa" w:w="80"/>
              <w:right w:type="dxa" w:w="100"/>
            </w:tcMar>
            <w:vAlign w:val="center"/>
          </w:tcPr>
          <w:p>
            <w:r>
              <w:rPr>
                <w:b w:val="false"/>
                <w:bCs w:val="false"/>
                <w:color w:val="1A1A1A"/>
                <w:sz w:val="19"/>
                <w:szCs w:val="19"/>
              </w:rPr>
              <w:t xml:space="preserve">Effectuer le triage initial d'un dossier</w:t>
            </w:r>
          </w:p>
        </w:tc>
      </w:tr>
      <w:tr>
        <w:tc>
          <w:tcPr>
            <w:tcW w:type="pct" w:w="30%"/>
            <w:tcMar>
              <w:top w:type="dxa" w:w="80"/>
              <w:left w:type="dxa" w:w="100"/>
              <w:bottom w:type="dxa" w:w="80"/>
              <w:right w:type="dxa" w:w="100"/>
            </w:tcMar>
            <w:vAlign w:val="center"/>
          </w:tcPr>
          <w:p>
            <w:r>
              <w:rPr>
                <w:b w:val="false"/>
                <w:bCs w:val="false"/>
                <w:color w:val="1A1A1A"/>
                <w:sz w:val="19"/>
                <w:szCs w:val="19"/>
              </w:rPr>
              <w:t xml:space="preserve">CHANGE_CASE_STATUS</w:t>
            </w:r>
          </w:p>
        </w:tc>
        <w:tc>
          <w:tcPr>
            <w:tcW w:type="pct" w:w="70%"/>
            <w:tcMar>
              <w:top w:type="dxa" w:w="80"/>
              <w:left w:type="dxa" w:w="100"/>
              <w:bottom w:type="dxa" w:w="80"/>
              <w:right w:type="dxa" w:w="100"/>
            </w:tcMar>
            <w:vAlign w:val="center"/>
          </w:tcPr>
          <w:p>
            <w:r>
              <w:rPr>
                <w:b w:val="false"/>
                <w:bCs w:val="false"/>
                <w:color w:val="1A1A1A"/>
                <w:sz w:val="19"/>
                <w:szCs w:val="19"/>
              </w:rPr>
              <w:t xml:space="preserve">Faire avancer le statut d'un dossier dans le workflow</w:t>
            </w:r>
          </w:p>
        </w:tc>
      </w:tr>
      <w:tr>
        <w:tc>
          <w:tcPr>
            <w:tcW w:type="pct" w:w="30%"/>
            <w:tcMar>
              <w:top w:type="dxa" w:w="80"/>
              <w:left w:type="dxa" w:w="100"/>
              <w:bottom w:type="dxa" w:w="80"/>
              <w:right w:type="dxa" w:w="100"/>
            </w:tcMar>
            <w:vAlign w:val="center"/>
          </w:tcPr>
          <w:p>
            <w:r>
              <w:rPr>
                <w:b w:val="false"/>
                <w:bCs w:val="false"/>
                <w:color w:val="1A1A1A"/>
                <w:sz w:val="19"/>
                <w:szCs w:val="19"/>
              </w:rPr>
              <w:t xml:space="preserve">ASSIGN_CASE</w:t>
            </w:r>
          </w:p>
        </w:tc>
        <w:tc>
          <w:tcPr>
            <w:tcW w:type="pct" w:w="70%"/>
            <w:tcMar>
              <w:top w:type="dxa" w:w="80"/>
              <w:left w:type="dxa" w:w="100"/>
              <w:bottom w:type="dxa" w:w="80"/>
              <w:right w:type="dxa" w:w="100"/>
            </w:tcMar>
            <w:vAlign w:val="center"/>
          </w:tcPr>
          <w:p>
            <w:r>
              <w:rPr>
                <w:b w:val="false"/>
                <w:bCs w:val="false"/>
                <w:color w:val="1A1A1A"/>
                <w:sz w:val="19"/>
                <w:szCs w:val="19"/>
              </w:rPr>
              <w:t xml:space="preserve">Assigner un dossier à un analyste</w:t>
            </w:r>
          </w:p>
        </w:tc>
      </w:tr>
      <w:tr>
        <w:tc>
          <w:tcPr>
            <w:tcW w:type="pct" w:w="30%"/>
            <w:tcMar>
              <w:top w:type="dxa" w:w="80"/>
              <w:left w:type="dxa" w:w="100"/>
              <w:bottom w:type="dxa" w:w="80"/>
              <w:right w:type="dxa" w:w="100"/>
            </w:tcMar>
            <w:vAlign w:val="center"/>
          </w:tcPr>
          <w:p>
            <w:r>
              <w:rPr>
                <w:b w:val="false"/>
                <w:bCs w:val="false"/>
                <w:color w:val="1A1A1A"/>
                <w:sz w:val="19"/>
                <w:szCs w:val="19"/>
              </w:rPr>
              <w:t xml:space="preserve">SET_SEVERITY</w:t>
            </w:r>
          </w:p>
        </w:tc>
        <w:tc>
          <w:tcPr>
            <w:tcW w:type="pct" w:w="70%"/>
            <w:tcMar>
              <w:top w:type="dxa" w:w="80"/>
              <w:left w:type="dxa" w:w="100"/>
              <w:bottom w:type="dxa" w:w="80"/>
              <w:right w:type="dxa" w:w="100"/>
            </w:tcMar>
            <w:vAlign w:val="center"/>
          </w:tcPr>
          <w:p>
            <w:r>
              <w:rPr>
                <w:b w:val="false"/>
                <w:bCs w:val="false"/>
                <w:color w:val="1A1A1A"/>
                <w:sz w:val="19"/>
                <w:szCs w:val="19"/>
              </w:rPr>
              <w:t xml:space="preserve">Définir la sévérité d'une vulnérabilité</w:t>
            </w:r>
          </w:p>
        </w:tc>
      </w:tr>
      <w:tr>
        <w:tc>
          <w:tcPr>
            <w:tcW w:type="pct" w:w="30%"/>
            <w:tcMar>
              <w:top w:type="dxa" w:w="80"/>
              <w:left w:type="dxa" w:w="100"/>
              <w:bottom w:type="dxa" w:w="80"/>
              <w:right w:type="dxa" w:w="100"/>
            </w:tcMar>
            <w:vAlign w:val="center"/>
          </w:tcPr>
          <w:p>
            <w:r>
              <w:rPr>
                <w:b w:val="false"/>
                <w:bCs w:val="false"/>
                <w:color w:val="1A1A1A"/>
                <w:sz w:val="19"/>
                <w:szCs w:val="19"/>
              </w:rPr>
              <w:t xml:space="preserve">POST_INTERNAL_MESSAGE</w:t>
            </w:r>
          </w:p>
        </w:tc>
        <w:tc>
          <w:tcPr>
            <w:tcW w:type="pct" w:w="70%"/>
            <w:tcMar>
              <w:top w:type="dxa" w:w="80"/>
              <w:left w:type="dxa" w:w="100"/>
              <w:bottom w:type="dxa" w:w="80"/>
              <w:right w:type="dxa" w:w="100"/>
            </w:tcMar>
            <w:vAlign w:val="center"/>
          </w:tcPr>
          <w:p>
            <w:r>
              <w:rPr>
                <w:b w:val="false"/>
                <w:bCs w:val="false"/>
                <w:color w:val="1A1A1A"/>
                <w:sz w:val="19"/>
                <w:szCs w:val="19"/>
              </w:rPr>
              <w:t xml:space="preserve">Écrire un message interne (invisible du chercheur) dans un dossier</w:t>
            </w:r>
          </w:p>
        </w:tc>
      </w:tr>
      <w:tr>
        <w:tc>
          <w:tcPr>
            <w:tcW w:type="pct" w:w="30%"/>
            <w:tcMar>
              <w:top w:type="dxa" w:w="80"/>
              <w:left w:type="dxa" w:w="100"/>
              <w:bottom w:type="dxa" w:w="80"/>
              <w:right w:type="dxa" w:w="100"/>
            </w:tcMar>
            <w:vAlign w:val="center"/>
          </w:tcPr>
          <w:p>
            <w:r>
              <w:rPr>
                <w:b w:val="false"/>
                <w:bCs w:val="false"/>
                <w:color w:val="1A1A1A"/>
                <w:sz w:val="19"/>
                <w:szCs w:val="19"/>
              </w:rPr>
              <w:t xml:space="preserve">MANAGE_ORGANIZATION</w:t>
            </w:r>
          </w:p>
        </w:tc>
        <w:tc>
          <w:tcPr>
            <w:tcW w:type="pct" w:w="70%"/>
            <w:tcMar>
              <w:top w:type="dxa" w:w="80"/>
              <w:left w:type="dxa" w:w="100"/>
              <w:bottom w:type="dxa" w:w="80"/>
              <w:right w:type="dxa" w:w="100"/>
            </w:tcMar>
            <w:vAlign w:val="center"/>
          </w:tcPr>
          <w:p>
            <w:r>
              <w:rPr>
                <w:b w:val="false"/>
                <w:bCs w:val="false"/>
                <w:color w:val="1A1A1A"/>
                <w:sz w:val="19"/>
                <w:szCs w:val="19"/>
              </w:rPr>
              <w:t xml:space="preserve">Gérer sa propre organisation (fiche, membres, programmes)</w:t>
            </w:r>
          </w:p>
        </w:tc>
      </w:tr>
      <w:tr>
        <w:tc>
          <w:tcPr>
            <w:tcW w:type="pct" w:w="30%"/>
            <w:tcMar>
              <w:top w:type="dxa" w:w="80"/>
              <w:left w:type="dxa" w:w="100"/>
              <w:bottom w:type="dxa" w:w="80"/>
              <w:right w:type="dxa" w:w="100"/>
            </w:tcMar>
            <w:vAlign w:val="center"/>
          </w:tcPr>
          <w:p>
            <w:r>
              <w:rPr>
                <w:b w:val="false"/>
                <w:bCs w:val="false"/>
                <w:color w:val="1A1A1A"/>
                <w:sz w:val="19"/>
                <w:szCs w:val="19"/>
              </w:rPr>
              <w:t xml:space="preserve">MANAGE_ALL_ORGANIZATIONS</w:t>
            </w:r>
          </w:p>
        </w:tc>
        <w:tc>
          <w:tcPr>
            <w:tcW w:type="pct" w:w="70%"/>
            <w:tcMar>
              <w:top w:type="dxa" w:w="80"/>
              <w:left w:type="dxa" w:w="100"/>
              <w:bottom w:type="dxa" w:w="80"/>
              <w:right w:type="dxa" w:w="100"/>
            </w:tcMar>
            <w:vAlign w:val="center"/>
          </w:tcPr>
          <w:p>
            <w:r>
              <w:rPr>
                <w:b w:val="false"/>
                <w:bCs w:val="false"/>
                <w:color w:val="1A1A1A"/>
                <w:sz w:val="19"/>
                <w:szCs w:val="19"/>
              </w:rPr>
              <w:t xml:space="preserve">Gérer n'importe quelle organisation de la plateforme</w:t>
            </w:r>
          </w:p>
        </w:tc>
      </w:tr>
      <w:tr>
        <w:tc>
          <w:tcPr>
            <w:tcW w:type="pct" w:w="30%"/>
            <w:tcMar>
              <w:top w:type="dxa" w:w="80"/>
              <w:left w:type="dxa" w:w="100"/>
              <w:bottom w:type="dxa" w:w="80"/>
              <w:right w:type="dxa" w:w="100"/>
            </w:tcMar>
            <w:vAlign w:val="center"/>
          </w:tcPr>
          <w:p>
            <w:r>
              <w:rPr>
                <w:b w:val="false"/>
                <w:bCs w:val="false"/>
                <w:color w:val="1A1A1A"/>
                <w:sz w:val="19"/>
                <w:szCs w:val="19"/>
              </w:rPr>
              <w:t xml:space="preserve">MANAGE_PROGRAM</w:t>
            </w:r>
          </w:p>
        </w:tc>
        <w:tc>
          <w:tcPr>
            <w:tcW w:type="pct" w:w="70%"/>
            <w:tcMar>
              <w:top w:type="dxa" w:w="80"/>
              <w:left w:type="dxa" w:w="100"/>
              <w:bottom w:type="dxa" w:w="80"/>
              <w:right w:type="dxa" w:w="100"/>
            </w:tcMar>
            <w:vAlign w:val="center"/>
          </w:tcPr>
          <w:p>
            <w:r>
              <w:rPr>
                <w:b w:val="false"/>
                <w:bCs w:val="false"/>
                <w:color w:val="1A1A1A"/>
                <w:sz w:val="19"/>
                <w:szCs w:val="19"/>
              </w:rPr>
              <w:t xml:space="preserve">Créer/modifier un programme VDP ou Bug Bounty</w:t>
            </w:r>
          </w:p>
        </w:tc>
      </w:tr>
      <w:tr>
        <w:tc>
          <w:tcPr>
            <w:tcW w:type="pct" w:w="30%"/>
            <w:tcMar>
              <w:top w:type="dxa" w:w="80"/>
              <w:left w:type="dxa" w:w="100"/>
              <w:bottom w:type="dxa" w:w="80"/>
              <w:right w:type="dxa" w:w="100"/>
            </w:tcMar>
            <w:vAlign w:val="center"/>
          </w:tcPr>
          <w:p>
            <w:r>
              <w:rPr>
                <w:b w:val="false"/>
                <w:bCs w:val="false"/>
                <w:color w:val="1A1A1A"/>
                <w:sz w:val="19"/>
                <w:szCs w:val="19"/>
              </w:rPr>
              <w:t xml:space="preserve">SUBMIT_REPORT</w:t>
            </w:r>
          </w:p>
        </w:tc>
        <w:tc>
          <w:tcPr>
            <w:tcW w:type="pct" w:w="70%"/>
            <w:tcMar>
              <w:top w:type="dxa" w:w="80"/>
              <w:left w:type="dxa" w:w="100"/>
              <w:bottom w:type="dxa" w:w="80"/>
              <w:right w:type="dxa" w:w="100"/>
            </w:tcMar>
            <w:vAlign w:val="center"/>
          </w:tcPr>
          <w:p>
            <w:r>
              <w:rPr>
                <w:b w:val="false"/>
                <w:bCs w:val="false"/>
                <w:color w:val="1A1A1A"/>
                <w:sz w:val="19"/>
                <w:szCs w:val="19"/>
              </w:rPr>
              <w:t xml:space="preserve">Soumettre un signalement de vulnérabilité</w:t>
            </w:r>
          </w:p>
        </w:tc>
      </w:tr>
      <w:tr>
        <w:tc>
          <w:tcPr>
            <w:tcW w:type="pct" w:w="30%"/>
            <w:tcMar>
              <w:top w:type="dxa" w:w="80"/>
              <w:left w:type="dxa" w:w="100"/>
              <w:bottom w:type="dxa" w:w="80"/>
              <w:right w:type="dxa" w:w="100"/>
            </w:tcMar>
            <w:vAlign w:val="center"/>
          </w:tcPr>
          <w:p>
            <w:r>
              <w:rPr>
                <w:b w:val="false"/>
                <w:bCs w:val="false"/>
                <w:color w:val="1A1A1A"/>
                <w:sz w:val="19"/>
                <w:szCs w:val="19"/>
              </w:rPr>
              <w:t xml:space="preserve">PROPOSE_BOUNTY</w:t>
            </w:r>
          </w:p>
        </w:tc>
        <w:tc>
          <w:tcPr>
            <w:tcW w:type="pct" w:w="70%"/>
            <w:tcMar>
              <w:top w:type="dxa" w:w="80"/>
              <w:left w:type="dxa" w:w="100"/>
              <w:bottom w:type="dxa" w:w="80"/>
              <w:right w:type="dxa" w:w="100"/>
            </w:tcMar>
            <w:vAlign w:val="center"/>
          </w:tcPr>
          <w:p>
            <w:r>
              <w:rPr>
                <w:b w:val="false"/>
                <w:bCs w:val="false"/>
                <w:color w:val="1A1A1A"/>
                <w:sz w:val="19"/>
                <w:szCs w:val="19"/>
              </w:rPr>
              <w:t xml:space="preserve">Proposer le montant d'une récompense</w:t>
            </w:r>
          </w:p>
        </w:tc>
      </w:tr>
      <w:tr>
        <w:tc>
          <w:tcPr>
            <w:tcW w:type="pct" w:w="30%"/>
            <w:tcMar>
              <w:top w:type="dxa" w:w="80"/>
              <w:left w:type="dxa" w:w="100"/>
              <w:bottom w:type="dxa" w:w="80"/>
              <w:right w:type="dxa" w:w="100"/>
            </w:tcMar>
            <w:vAlign w:val="center"/>
          </w:tcPr>
          <w:p>
            <w:r>
              <w:rPr>
                <w:b w:val="false"/>
                <w:bCs w:val="false"/>
                <w:color w:val="1A1A1A"/>
                <w:sz w:val="19"/>
                <w:szCs w:val="19"/>
              </w:rPr>
              <w:t xml:space="preserve">APPROVE_BOUNTY</w:t>
            </w:r>
          </w:p>
        </w:tc>
        <w:tc>
          <w:tcPr>
            <w:tcW w:type="pct" w:w="70%"/>
            <w:tcMar>
              <w:top w:type="dxa" w:w="80"/>
              <w:left w:type="dxa" w:w="100"/>
              <w:bottom w:type="dxa" w:w="80"/>
              <w:right w:type="dxa" w:w="100"/>
            </w:tcMar>
            <w:vAlign w:val="center"/>
          </w:tcPr>
          <w:p>
            <w:r>
              <w:rPr>
                <w:b w:val="false"/>
                <w:bCs w:val="false"/>
                <w:color w:val="1A1A1A"/>
                <w:sz w:val="19"/>
                <w:szCs w:val="19"/>
              </w:rPr>
              <w:t xml:space="preserve">Approuver (valider) une récompense proposée</w:t>
            </w:r>
          </w:p>
        </w:tc>
      </w:tr>
      <w:tr>
        <w:tc>
          <w:tcPr>
            <w:tcW w:type="pct" w:w="30%"/>
            <w:tcMar>
              <w:top w:type="dxa" w:w="80"/>
              <w:left w:type="dxa" w:w="100"/>
              <w:bottom w:type="dxa" w:w="80"/>
              <w:right w:type="dxa" w:w="100"/>
            </w:tcMar>
            <w:vAlign w:val="center"/>
          </w:tcPr>
          <w:p>
            <w:r>
              <w:rPr>
                <w:b w:val="false"/>
                <w:bCs w:val="false"/>
                <w:color w:val="1A1A1A"/>
                <w:sz w:val="19"/>
                <w:szCs w:val="19"/>
              </w:rPr>
              <w:t xml:space="preserve">RECORD_PAYMENT</w:t>
            </w:r>
          </w:p>
        </w:tc>
        <w:tc>
          <w:tcPr>
            <w:tcW w:type="pct" w:w="70%"/>
            <w:tcMar>
              <w:top w:type="dxa" w:w="80"/>
              <w:left w:type="dxa" w:w="100"/>
              <w:bottom w:type="dxa" w:w="80"/>
              <w:right w:type="dxa" w:w="100"/>
            </w:tcMar>
            <w:vAlign w:val="center"/>
          </w:tcPr>
          <w:p>
            <w:r>
              <w:rPr>
                <w:b w:val="false"/>
                <w:bCs w:val="false"/>
                <w:color w:val="1A1A1A"/>
                <w:sz w:val="19"/>
                <w:szCs w:val="19"/>
              </w:rPr>
              <w:t xml:space="preserve">Enregistrer le paiement effectif d'une récompense</w:t>
            </w:r>
          </w:p>
        </w:tc>
      </w:tr>
      <w:tr>
        <w:tc>
          <w:tcPr>
            <w:tcW w:type="pct" w:w="30%"/>
            <w:tcMar>
              <w:top w:type="dxa" w:w="80"/>
              <w:left w:type="dxa" w:w="100"/>
              <w:bottom w:type="dxa" w:w="80"/>
              <w:right w:type="dxa" w:w="100"/>
            </w:tcMar>
            <w:vAlign w:val="center"/>
          </w:tcPr>
          <w:p>
            <w:r>
              <w:rPr>
                <w:b w:val="false"/>
                <w:bCs w:val="false"/>
                <w:color w:val="1A1A1A"/>
                <w:sz w:val="19"/>
                <w:szCs w:val="19"/>
              </w:rPr>
              <w:t xml:space="preserve">DRAFT_ADVISORY</w:t>
            </w:r>
          </w:p>
        </w:tc>
        <w:tc>
          <w:tcPr>
            <w:tcW w:type="pct" w:w="70%"/>
            <w:tcMar>
              <w:top w:type="dxa" w:w="80"/>
              <w:left w:type="dxa" w:w="100"/>
              <w:bottom w:type="dxa" w:w="80"/>
              <w:right w:type="dxa" w:w="100"/>
            </w:tcMar>
            <w:vAlign w:val="center"/>
          </w:tcPr>
          <w:p>
            <w:r>
              <w:rPr>
                <w:b w:val="false"/>
                <w:bCs w:val="false"/>
                <w:color w:val="1A1A1A"/>
                <w:sz w:val="19"/>
                <w:szCs w:val="19"/>
              </w:rPr>
              <w:t xml:space="preserve">Rédiger un bulletin de sécurité (advisory)</w:t>
            </w:r>
          </w:p>
        </w:tc>
      </w:tr>
      <w:tr>
        <w:tc>
          <w:tcPr>
            <w:tcW w:type="pct" w:w="30%"/>
            <w:tcMar>
              <w:top w:type="dxa" w:w="80"/>
              <w:left w:type="dxa" w:w="100"/>
              <w:bottom w:type="dxa" w:w="80"/>
              <w:right w:type="dxa" w:w="100"/>
            </w:tcMar>
            <w:vAlign w:val="center"/>
          </w:tcPr>
          <w:p>
            <w:r>
              <w:rPr>
                <w:b w:val="false"/>
                <w:bCs w:val="false"/>
                <w:color w:val="1A1A1A"/>
                <w:sz w:val="19"/>
                <w:szCs w:val="19"/>
              </w:rPr>
              <w:t xml:space="preserve">PUBLISH_ADVISORY</w:t>
            </w:r>
          </w:p>
        </w:tc>
        <w:tc>
          <w:tcPr>
            <w:tcW w:type="pct" w:w="70%"/>
            <w:tcMar>
              <w:top w:type="dxa" w:w="80"/>
              <w:left w:type="dxa" w:w="100"/>
              <w:bottom w:type="dxa" w:w="80"/>
              <w:right w:type="dxa" w:w="100"/>
            </w:tcMar>
            <w:vAlign w:val="center"/>
          </w:tcPr>
          <w:p>
            <w:r>
              <w:rPr>
                <w:b w:val="false"/>
                <w:bCs w:val="false"/>
                <w:color w:val="1A1A1A"/>
                <w:sz w:val="19"/>
                <w:szCs w:val="19"/>
              </w:rPr>
              <w:t xml:space="preserve">Publier un advisory (le rendre public)</w:t>
            </w:r>
          </w:p>
        </w:tc>
      </w:tr>
      <w:tr>
        <w:tc>
          <w:tcPr>
            <w:tcW w:type="pct" w:w="30%"/>
            <w:tcMar>
              <w:top w:type="dxa" w:w="80"/>
              <w:left w:type="dxa" w:w="100"/>
              <w:bottom w:type="dxa" w:w="80"/>
              <w:right w:type="dxa" w:w="100"/>
            </w:tcMar>
            <w:vAlign w:val="center"/>
          </w:tcPr>
          <w:p>
            <w:r>
              <w:rPr>
                <w:b w:val="false"/>
                <w:bCs w:val="false"/>
                <w:color w:val="1A1A1A"/>
                <w:sz w:val="19"/>
                <w:szCs w:val="19"/>
              </w:rPr>
              <w:t xml:space="preserve">VIEW_AUDIT_LOG</w:t>
            </w:r>
          </w:p>
        </w:tc>
        <w:tc>
          <w:tcPr>
            <w:tcW w:type="pct" w:w="70%"/>
            <w:tcMar>
              <w:top w:type="dxa" w:w="80"/>
              <w:left w:type="dxa" w:w="100"/>
              <w:bottom w:type="dxa" w:w="80"/>
              <w:right w:type="dxa" w:w="100"/>
            </w:tcMar>
            <w:vAlign w:val="center"/>
          </w:tcPr>
          <w:p>
            <w:r>
              <w:rPr>
                <w:b w:val="false"/>
                <w:bCs w:val="false"/>
                <w:color w:val="1A1A1A"/>
                <w:sz w:val="19"/>
                <w:szCs w:val="19"/>
              </w:rPr>
              <w:t xml:space="preserve">Consulter le journal d'audit de la plateforme</w:t>
            </w:r>
          </w:p>
        </w:tc>
      </w:tr>
      <w:tr>
        <w:tc>
          <w:tcPr>
            <w:tcW w:type="pct" w:w="30%"/>
            <w:tcMar>
              <w:top w:type="dxa" w:w="80"/>
              <w:left w:type="dxa" w:w="100"/>
              <w:bottom w:type="dxa" w:w="80"/>
              <w:right w:type="dxa" w:w="100"/>
            </w:tcMar>
            <w:vAlign w:val="center"/>
          </w:tcPr>
          <w:p>
            <w:r>
              <w:rPr>
                <w:b w:val="false"/>
                <w:bCs w:val="false"/>
                <w:color w:val="1A1A1A"/>
                <w:sz w:val="19"/>
                <w:szCs w:val="19"/>
              </w:rPr>
              <w:t xml:space="preserve">VIEW_NATIONAL_DASHBOARD</w:t>
            </w:r>
          </w:p>
        </w:tc>
        <w:tc>
          <w:tcPr>
            <w:tcW w:type="pct" w:w="70%"/>
            <w:tcMar>
              <w:top w:type="dxa" w:w="80"/>
              <w:left w:type="dxa" w:w="100"/>
              <w:bottom w:type="dxa" w:w="80"/>
              <w:right w:type="dxa" w:w="100"/>
            </w:tcMar>
            <w:vAlign w:val="center"/>
          </w:tcPr>
          <w:p>
            <w:r>
              <w:rPr>
                <w:b w:val="false"/>
                <w:bCs w:val="false"/>
                <w:color w:val="1A1A1A"/>
                <w:sz w:val="19"/>
                <w:szCs w:val="19"/>
              </w:rPr>
              <w:t xml:space="preserve">Voir le tableau de bord national (vue d'ensemble pays)</w:t>
            </w:r>
          </w:p>
        </w:tc>
      </w:tr>
      <w:tr>
        <w:tc>
          <w:tcPr>
            <w:tcW w:type="pct" w:w="30%"/>
            <w:tcMar>
              <w:top w:type="dxa" w:w="80"/>
              <w:left w:type="dxa" w:w="100"/>
              <w:bottom w:type="dxa" w:w="80"/>
              <w:right w:type="dxa" w:w="100"/>
            </w:tcMar>
            <w:vAlign w:val="center"/>
          </w:tcPr>
          <w:p>
            <w:r>
              <w:rPr>
                <w:b w:val="false"/>
                <w:bCs w:val="false"/>
                <w:color w:val="1A1A1A"/>
                <w:sz w:val="19"/>
                <w:szCs w:val="19"/>
              </w:rPr>
              <w:t xml:space="preserve">VIEW_CSIRT_DASHBOARD</w:t>
            </w:r>
          </w:p>
        </w:tc>
        <w:tc>
          <w:tcPr>
            <w:tcW w:type="pct" w:w="70%"/>
            <w:tcMar>
              <w:top w:type="dxa" w:w="80"/>
              <w:left w:type="dxa" w:w="100"/>
              <w:bottom w:type="dxa" w:w="80"/>
              <w:right w:type="dxa" w:w="100"/>
            </w:tcMar>
            <w:vAlign w:val="center"/>
          </w:tcPr>
          <w:p>
            <w:r>
              <w:rPr>
                <w:b w:val="false"/>
                <w:bCs w:val="false"/>
                <w:color w:val="1A1A1A"/>
                <w:sz w:val="19"/>
                <w:szCs w:val="19"/>
              </w:rPr>
              <w:t xml:space="preserve">Voir le tableau de bord opérationnel CSIRT</w:t>
            </w:r>
          </w:p>
        </w:tc>
      </w:tr>
      <w:tr>
        <w:tc>
          <w:tcPr>
            <w:tcW w:type="pct" w:w="30%"/>
            <w:tcMar>
              <w:top w:type="dxa" w:w="80"/>
              <w:left w:type="dxa" w:w="100"/>
              <w:bottom w:type="dxa" w:w="80"/>
              <w:right w:type="dxa" w:w="100"/>
            </w:tcMar>
            <w:vAlign w:val="center"/>
          </w:tcPr>
          <w:p>
            <w:r>
              <w:rPr>
                <w:b w:val="false"/>
                <w:bCs w:val="false"/>
                <w:color w:val="1A1A1A"/>
                <w:sz w:val="19"/>
                <w:szCs w:val="19"/>
              </w:rPr>
              <w:t xml:space="preserve">EXPORT_DATA</w:t>
            </w:r>
          </w:p>
        </w:tc>
        <w:tc>
          <w:tcPr>
            <w:tcW w:type="pct" w:w="70%"/>
            <w:tcMar>
              <w:top w:type="dxa" w:w="80"/>
              <w:left w:type="dxa" w:w="100"/>
              <w:bottom w:type="dxa" w:w="80"/>
              <w:right w:type="dxa" w:w="100"/>
            </w:tcMar>
            <w:vAlign w:val="center"/>
          </w:tcPr>
          <w:p>
            <w:r>
              <w:rPr>
                <w:b w:val="false"/>
                <w:bCs w:val="false"/>
                <w:color w:val="1A1A1A"/>
                <w:sz w:val="19"/>
                <w:szCs w:val="19"/>
              </w:rPr>
              <w:t xml:space="preserve">Exporter des données (rapports, statistiques)</w:t>
            </w:r>
          </w:p>
        </w:tc>
      </w:tr>
      <w:tr>
        <w:tc>
          <w:tcPr>
            <w:tcW w:type="pct" w:w="30%"/>
            <w:tcMar>
              <w:top w:type="dxa" w:w="80"/>
              <w:left w:type="dxa" w:w="100"/>
              <w:bottom w:type="dxa" w:w="80"/>
              <w:right w:type="dxa" w:w="100"/>
            </w:tcMar>
            <w:vAlign w:val="center"/>
          </w:tcPr>
          <w:p>
            <w:r>
              <w:rPr>
                <w:b w:val="false"/>
                <w:bCs w:val="false"/>
                <w:color w:val="1A1A1A"/>
                <w:sz w:val="19"/>
                <w:szCs w:val="19"/>
              </w:rPr>
              <w:t xml:space="preserve">IMPORT_CSAF</w:t>
            </w:r>
          </w:p>
        </w:tc>
        <w:tc>
          <w:tcPr>
            <w:tcW w:type="pct" w:w="70%"/>
            <w:tcMar>
              <w:top w:type="dxa" w:w="80"/>
              <w:left w:type="dxa" w:w="100"/>
              <w:bottom w:type="dxa" w:w="80"/>
              <w:right w:type="dxa" w:w="100"/>
            </w:tcMar>
            <w:vAlign w:val="center"/>
          </w:tcPr>
          <w:p>
            <w:r>
              <w:rPr>
                <w:b w:val="false"/>
                <w:bCs w:val="false"/>
                <w:color w:val="1A1A1A"/>
                <w:sz w:val="19"/>
                <w:szCs w:val="19"/>
              </w:rPr>
              <w:t xml:space="preserve">Importer un document CSAF (format standard d'advisory)</w:t>
            </w:r>
          </w:p>
        </w:tc>
      </w:tr>
      <w:tr>
        <w:tc>
          <w:tcPr>
            <w:tcW w:type="pct" w:w="30%"/>
            <w:tcMar>
              <w:top w:type="dxa" w:w="80"/>
              <w:left w:type="dxa" w:w="100"/>
              <w:bottom w:type="dxa" w:w="80"/>
              <w:right w:type="dxa" w:w="100"/>
            </w:tcMar>
            <w:vAlign w:val="center"/>
          </w:tcPr>
          <w:p>
            <w:r>
              <w:rPr>
                <w:b w:val="false"/>
                <w:bCs w:val="false"/>
                <w:color w:val="1A1A1A"/>
                <w:sz w:val="19"/>
                <w:szCs w:val="19"/>
              </w:rPr>
              <w:t xml:space="preserve">MANAGE_USERS</w:t>
            </w:r>
          </w:p>
        </w:tc>
        <w:tc>
          <w:tcPr>
            <w:tcW w:type="pct" w:w="70%"/>
            <w:tcMar>
              <w:top w:type="dxa" w:w="80"/>
              <w:left w:type="dxa" w:w="100"/>
              <w:bottom w:type="dxa" w:w="80"/>
              <w:right w:type="dxa" w:w="100"/>
            </w:tcMar>
            <w:vAlign w:val="center"/>
          </w:tcPr>
          <w:p>
            <w:r>
              <w:rPr>
                <w:b w:val="false"/>
                <w:bCs w:val="false"/>
                <w:color w:val="1A1A1A"/>
                <w:sz w:val="19"/>
                <w:szCs w:val="19"/>
              </w:rPr>
              <w:t xml:space="preserve">Créer et gérer les comptes utilisateurs de la plateforme</w:t>
            </w:r>
          </w:p>
        </w:tc>
      </w:tr>
    </w:tbl>
    <w:p>
      <w:pPr>
        <w:pStyle w:val="Heading1"/>
        <w:pBdr>
          <w:bottom w:val="single" w:color="1E2761" w:sz="6" w:space="4"/>
        </w:pBdr>
        <w:spacing w:after="200" w:before="420"/>
      </w:pPr>
      <w:r>
        <w:rPr>
          <w:b/>
          <w:bCs/>
          <w:color w:val="1E2761"/>
          <w:sz w:val="30"/>
          <w:szCs w:val="30"/>
        </w:rPr>
        <w:t xml:space="preserve">4. Rôle global vs rôle au sein d'une organisation — la distinction la plus importante à comprendre</w:t>
      </w:r>
    </w:p>
    <w:p>
      <w:pPr>
        <w:spacing w:after="160" w:line="300"/>
      </w:pPr>
      <w:r>
        <w:rPr>
          <w:color w:val="1A1A1A"/>
          <w:sz w:val="21"/>
          <w:szCs w:val="21"/>
        </w:rPr>
        <w:t xml:space="preserve">Il existe DEUX systèmes de rôle différents, faciles à confondre :</w:t>
      </w:r>
    </w:p>
    <w:p>
      <w:pPr>
        <w:pStyle w:val="ListParagraph"/>
        <w:numPr>
          <w:ilvl w:val="0"/>
          <w:numId w:val="1"/>
        </w:numPr>
        <w:spacing w:after="80"/>
      </w:pPr>
      <w:r>
        <w:rPr>
          <w:sz w:val="21"/>
          <w:szCs w:val="21"/>
        </w:rPr>
        <w:t xml:space="preserve">Le rôle global (User.role, §2) — celui qui donne réellement des droits dans toute l'application.</w:t>
      </w:r>
    </w:p>
    <w:p>
      <w:pPr>
        <w:pStyle w:val="ListParagraph"/>
        <w:numPr>
          <w:ilvl w:val="0"/>
          <w:numId w:val="1"/>
        </w:numPr>
        <w:spacing w:after="80"/>
      </w:pPr>
      <w:r>
        <w:rPr>
          <w:sz w:val="21"/>
          <w:szCs w:val="21"/>
        </w:rPr>
        <w:t xml:space="preserve">Le « rôle d'appartenance » à une organisation (OrganizationMember.membership_role) — une simple étiquette informative affichée sur la fiche de l'organisation (Responsable / DSI / Contact sécurité / Analyste / Observateur), qui NE DONNE AUCUN DROIT en elle-même.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E2761" w:val="clear"/>
            <w:tcMar>
              <w:top w:type="dxa" w:w="80"/>
              <w:left w:type="dxa" w:w="100"/>
              <w:bottom w:type="dxa" w:w="80"/>
              <w:right w:type="dxa" w:w="100"/>
            </w:tcMar>
            <w:vAlign w:val="center"/>
          </w:tcPr>
          <w:p>
            <w:r>
              <w:rPr>
                <w:b/>
                <w:bCs/>
                <w:color w:val="FFFFFF"/>
                <w:sz w:val="19"/>
                <w:szCs w:val="19"/>
              </w:rPr>
              <w:t xml:space="preserve">MembershipRole (étiquette informative)</w:t>
            </w:r>
          </w:p>
        </w:tc>
        <w:tc>
          <w:tcPr>
            <w:tcW w:type="pct" w:w="65%"/>
            <w:shd w:fill="1E2761" w:val="clear"/>
            <w:tcMar>
              <w:top w:type="dxa" w:w="80"/>
              <w:left w:type="dxa" w:w="100"/>
              <w:bottom w:type="dxa" w:w="80"/>
              <w:right w:type="dxa" w:w="100"/>
            </w:tcMar>
            <w:vAlign w:val="center"/>
          </w:tcPr>
          <w:p>
            <w:r>
              <w:rPr>
                <w:b/>
                <w:bCs/>
                <w:color w:val="FFFFFF"/>
                <w:sz w:val="19"/>
                <w:szCs w:val="19"/>
              </w:rPr>
              <w:t xml:space="preserve">Signification</w:t>
            </w:r>
          </w:p>
        </w:tc>
      </w:tr>
      <w:tr>
        <w:tc>
          <w:tcPr>
            <w:tcW w:type="pct" w:w="35%"/>
            <w:tcMar>
              <w:top w:type="dxa" w:w="80"/>
              <w:left w:type="dxa" w:w="100"/>
              <w:bottom w:type="dxa" w:w="80"/>
              <w:right w:type="dxa" w:w="100"/>
            </w:tcMar>
            <w:vAlign w:val="center"/>
          </w:tcPr>
          <w:p>
            <w:r>
              <w:rPr>
                <w:b w:val="false"/>
                <w:bCs w:val="false"/>
                <w:color w:val="1A1A1A"/>
                <w:sz w:val="19"/>
                <w:szCs w:val="19"/>
              </w:rPr>
              <w:t xml:space="preserve">MANAGER</w:t>
            </w:r>
          </w:p>
        </w:tc>
        <w:tc>
          <w:tcPr>
            <w:tcW w:type="pct" w:w="65%"/>
            <w:tcMar>
              <w:top w:type="dxa" w:w="80"/>
              <w:left w:type="dxa" w:w="100"/>
              <w:bottom w:type="dxa" w:w="80"/>
              <w:right w:type="dxa" w:w="100"/>
            </w:tcMar>
            <w:vAlign w:val="center"/>
          </w:tcPr>
          <w:p>
            <w:r>
              <w:rPr>
                <w:b w:val="false"/>
                <w:bCs w:val="false"/>
                <w:color w:val="1A1A1A"/>
                <w:sz w:val="19"/>
                <w:szCs w:val="19"/>
              </w:rPr>
              <w:t xml:space="preserve">Responsable — étiquette affichée sur la fiche organisation</w:t>
            </w:r>
          </w:p>
        </w:tc>
      </w:tr>
      <w:tr>
        <w:tc>
          <w:tcPr>
            <w:tcW w:type="pct" w:w="35%"/>
            <w:tcMar>
              <w:top w:type="dxa" w:w="80"/>
              <w:left w:type="dxa" w:w="100"/>
              <w:bottom w:type="dxa" w:w="80"/>
              <w:right w:type="dxa" w:w="100"/>
            </w:tcMar>
            <w:vAlign w:val="center"/>
          </w:tcPr>
          <w:p>
            <w:r>
              <w:rPr>
                <w:b w:val="false"/>
                <w:bCs w:val="false"/>
                <w:color w:val="1A1A1A"/>
                <w:sz w:val="19"/>
                <w:szCs w:val="19"/>
              </w:rPr>
              <w:t xml:space="preserve">DSI</w:t>
            </w:r>
          </w:p>
        </w:tc>
        <w:tc>
          <w:tcPr>
            <w:tcW w:type="pct" w:w="65%"/>
            <w:tcMar>
              <w:top w:type="dxa" w:w="80"/>
              <w:left w:type="dxa" w:w="100"/>
              <w:bottom w:type="dxa" w:w="80"/>
              <w:right w:type="dxa" w:w="100"/>
            </w:tcMar>
            <w:vAlign w:val="center"/>
          </w:tcPr>
          <w:p>
            <w:r>
              <w:rPr>
                <w:b w:val="false"/>
                <w:bCs w:val="false"/>
                <w:color w:val="1A1A1A"/>
                <w:sz w:val="19"/>
                <w:szCs w:val="19"/>
              </w:rPr>
              <w:t xml:space="preserve">DSI — étiquette affichée sur la fiche organisation</w:t>
            </w:r>
          </w:p>
        </w:tc>
      </w:tr>
      <w:tr>
        <w:tc>
          <w:tcPr>
            <w:tcW w:type="pct" w:w="35%"/>
            <w:tcMar>
              <w:top w:type="dxa" w:w="80"/>
              <w:left w:type="dxa" w:w="100"/>
              <w:bottom w:type="dxa" w:w="80"/>
              <w:right w:type="dxa" w:w="100"/>
            </w:tcMar>
            <w:vAlign w:val="center"/>
          </w:tcPr>
          <w:p>
            <w:r>
              <w:rPr>
                <w:b w:val="false"/>
                <w:bCs w:val="false"/>
                <w:color w:val="1A1A1A"/>
                <w:sz w:val="19"/>
                <w:szCs w:val="19"/>
              </w:rPr>
              <w:t xml:space="preserve">SECURITY_CONTACT</w:t>
            </w:r>
          </w:p>
        </w:tc>
        <w:tc>
          <w:tcPr>
            <w:tcW w:type="pct" w:w="65%"/>
            <w:tcMar>
              <w:top w:type="dxa" w:w="80"/>
              <w:left w:type="dxa" w:w="100"/>
              <w:bottom w:type="dxa" w:w="80"/>
              <w:right w:type="dxa" w:w="100"/>
            </w:tcMar>
            <w:vAlign w:val="center"/>
          </w:tcPr>
          <w:p>
            <w:r>
              <w:rPr>
                <w:b w:val="false"/>
                <w:bCs w:val="false"/>
                <w:color w:val="1A1A1A"/>
                <w:sz w:val="19"/>
                <w:szCs w:val="19"/>
              </w:rPr>
              <w:t xml:space="preserve">Contact sécurité — étiquette affichée sur la fiche organisation</w:t>
            </w:r>
          </w:p>
        </w:tc>
      </w:tr>
      <w:tr>
        <w:tc>
          <w:tcPr>
            <w:tcW w:type="pct" w:w="35%"/>
            <w:tcMar>
              <w:top w:type="dxa" w:w="80"/>
              <w:left w:type="dxa" w:w="100"/>
              <w:bottom w:type="dxa" w:w="80"/>
              <w:right w:type="dxa" w:w="100"/>
            </w:tcMar>
            <w:vAlign w:val="center"/>
          </w:tcPr>
          <w:p>
            <w:r>
              <w:rPr>
                <w:b w:val="false"/>
                <w:bCs w:val="false"/>
                <w:color w:val="1A1A1A"/>
                <w:sz w:val="19"/>
                <w:szCs w:val="19"/>
              </w:rPr>
              <w:t xml:space="preserve">ANALYST</w:t>
            </w:r>
          </w:p>
        </w:tc>
        <w:tc>
          <w:tcPr>
            <w:tcW w:type="pct" w:w="65%"/>
            <w:tcMar>
              <w:top w:type="dxa" w:w="80"/>
              <w:left w:type="dxa" w:w="100"/>
              <w:bottom w:type="dxa" w:w="80"/>
              <w:right w:type="dxa" w:w="100"/>
            </w:tcMar>
            <w:vAlign w:val="center"/>
          </w:tcPr>
          <w:p>
            <w:r>
              <w:rPr>
                <w:b w:val="false"/>
                <w:bCs w:val="false"/>
                <w:color w:val="1A1A1A"/>
                <w:sz w:val="19"/>
                <w:szCs w:val="19"/>
              </w:rPr>
              <w:t xml:space="preserve">Analyste — étiquette affichée sur la fiche organisation</w:t>
            </w:r>
          </w:p>
        </w:tc>
      </w:tr>
      <w:tr>
        <w:tc>
          <w:tcPr>
            <w:tcW w:type="pct" w:w="35%"/>
            <w:tcMar>
              <w:top w:type="dxa" w:w="80"/>
              <w:left w:type="dxa" w:w="100"/>
              <w:bottom w:type="dxa" w:w="80"/>
              <w:right w:type="dxa" w:w="100"/>
            </w:tcMar>
            <w:vAlign w:val="center"/>
          </w:tcPr>
          <w:p>
            <w:r>
              <w:rPr>
                <w:b w:val="false"/>
                <w:bCs w:val="false"/>
                <w:color w:val="1A1A1A"/>
                <w:sz w:val="19"/>
                <w:szCs w:val="19"/>
              </w:rPr>
              <w:t xml:space="preserve">OBSERVER</w:t>
            </w:r>
          </w:p>
        </w:tc>
        <w:tc>
          <w:tcPr>
            <w:tcW w:type="pct" w:w="65%"/>
            <w:tcMar>
              <w:top w:type="dxa" w:w="80"/>
              <w:left w:type="dxa" w:w="100"/>
              <w:bottom w:type="dxa" w:w="80"/>
              <w:right w:type="dxa" w:w="100"/>
            </w:tcMar>
            <w:vAlign w:val="center"/>
          </w:tcPr>
          <w:p>
            <w:r>
              <w:rPr>
                <w:b w:val="false"/>
                <w:bCs w:val="false"/>
                <w:color w:val="1A1A1A"/>
                <w:sz w:val="19"/>
                <w:szCs w:val="19"/>
              </w:rPr>
              <w:t xml:space="preserve">Observateur — étiquette affichée sur la fiche organisation (valeur par défaut)</w:t>
            </w:r>
          </w:p>
        </w:tc>
      </w:tr>
    </w:tbl>
    <w:p>
      <w:pPr>
        <w:pBdr>
          <w:left w:val="single" w:color="8A6D00" w:sz="24" w:space="8"/>
        </w:pBdr>
        <w:shd w:fill="F0F1F7" w:val="clear"/>
        <w:spacing w:after="200" w:before="120"/>
        <w:ind w:left="100"/>
      </w:pPr>
      <w:r>
        <w:rPr>
          <w:b/>
          <w:bCs/>
          <w:color w:val="8A6D00"/>
          <w:sz w:val="20"/>
          <w:szCs w:val="20"/>
        </w:rPr>
        <w:t xml:space="preserve">Pourquoi c'est sécurisé : </w:t>
      </w:r>
      <w:r>
        <w:rPr>
          <w:color w:val="2A2A2A"/>
          <w:sz w:val="20"/>
          <w:szCs w:val="20"/>
        </w:rPr>
        <w:t xml:space="preserve">Concrètement, quand quelqu'un est invité via « Organisations → Ajouter un membre », le système lui attribue automatiquement le rôle global ORGANIZATION_MANAGER (celui qui donne les vrais droits de gestion), quelle que soit l'étiquette choisie dans le formulaire (Responsable, DSI, etc.). Ce choix de conception évite qu'une simple étiquette descriptive soit confondue avec une élévation de privilège réelle : les droits viennent d'un seul endroit central (le rôle global), jamais d'un champ secondaire au sein d'un autre module.</w:t>
      </w:r>
    </w:p>
    <w:p>
      <w:pPr>
        <w:pStyle w:val="Heading1"/>
        <w:pBdr>
          <w:bottom w:val="single" w:color="1E2761" w:sz="6" w:space="4"/>
        </w:pBdr>
        <w:spacing w:after="200" w:before="420"/>
      </w:pPr>
      <w:r>
        <w:rPr>
          <w:b/>
          <w:bCs/>
          <w:color w:val="1E2761"/>
          <w:sz w:val="30"/>
          <w:szCs w:val="30"/>
        </w:rPr>
        <w:t xml:space="preserve">5. Comment chaque type de compte est créé — procédures détaillées</w:t>
      </w:r>
    </w:p>
    <w:p>
      <w:pPr>
        <w:pStyle w:val="Heading2"/>
        <w:spacing w:after="130" w:before="320"/>
      </w:pPr>
      <w:r>
        <w:rPr>
          <w:b/>
          <w:bCs/>
          <w:color w:val="3B4A9E"/>
          <w:sz w:val="24"/>
          <w:szCs w:val="24"/>
        </w:rPr>
        <w:t xml:space="preserve">5.1 — Le tout premier compte (Super-admin)</w:t>
      </w:r>
    </w:p>
    <w:p>
      <w:pPr>
        <w:spacing w:after="160" w:line="300"/>
      </w:pPr>
      <w:r>
        <w:rPr>
          <w:color w:val="1A1A1A"/>
          <w:sz w:val="21"/>
          <w:szCs w:val="21"/>
        </w:rPr>
        <w:t xml:space="preserve">Unique exception à toute la logique ci-dessous : il n'existe, au tout premier démarrage de la plateforme, littéralement personne pour créer le premier compte. Il est donc créé une seule fois en ligne de commande, sur le serveur :</w:t>
      </w:r>
    </w:p>
    <w:p>
      <w:pPr>
        <w:shd w:fill="1E1E2E" w:val="clear"/>
        <w:spacing w:after="200" w:before="100"/>
        <w:ind w:left="100" w:right="100"/>
      </w:pPr>
      <w:r>
        <w:rPr>
          <w:rFonts w:ascii="Consolas" w:cs="Consolas" w:eastAsia="Consolas" w:hAnsi="Consolas"/>
          <w:color w:val="D4D4D4"/>
          <w:sz w:val="19"/>
          <w:szCs w:val="19"/>
        </w:rPr>
        <w:t xml:space="preserve">docker compose exec evdp-web python manage.py createsuperuser</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Cette commande ne peut PAS être lancée depuis l'interface web — c'est volontaire : un accès serveur est nécessaire pour créer un compte aux pleins pouvoirs, ce qui garantit qu'aucun super-admin ne peut être créé par une simple faille applicative web.</w:t>
      </w:r>
    </w:p>
    <w:p>
      <w:pPr>
        <w:pStyle w:val="Heading2"/>
        <w:spacing w:after="130" w:before="320"/>
      </w:pPr>
      <w:r>
        <w:rPr>
          <w:b/>
          <w:bCs/>
          <w:color w:val="3B4A9E"/>
          <w:sz w:val="24"/>
          <w:szCs w:val="24"/>
        </w:rPr>
        <w:t xml:space="preserve">5.2 — Comptes CSIRT / national (Coordinateur, Analyste, Agent de triage, Auditeur)</w:t>
      </w:r>
    </w:p>
    <w:p>
      <w:pPr>
        <w:spacing w:after="160" w:line="300"/>
      </w:pPr>
      <w:r>
        <w:rPr>
          <w:color w:val="1A1A1A"/>
          <w:sz w:val="21"/>
          <w:szCs w:val="21"/>
        </w:rPr>
        <w:t xml:space="preserve">Requiert la capacité MANAGE_USERS (détenue uniquement par Super-admin et Coordinateur national).</w:t>
      </w:r>
    </w:p>
    <w:p>
      <w:pPr>
        <w:pStyle w:val="ListParagraph"/>
        <w:numPr>
          <w:ilvl w:val="0"/>
          <w:numId w:val="1"/>
        </w:numPr>
        <w:spacing w:after="80"/>
      </w:pPr>
      <w:r>
        <w:rPr>
          <w:sz w:val="21"/>
          <w:szCs w:val="21"/>
        </w:rPr>
        <w:t xml:space="preserve">Se connecter avec un compte qui a cette capacité.</w:t>
      </w:r>
    </w:p>
    <w:p>
      <w:pPr>
        <w:pStyle w:val="ListParagraph"/>
        <w:numPr>
          <w:ilvl w:val="0"/>
          <w:numId w:val="1"/>
        </w:numPr>
        <w:spacing w:after="80"/>
      </w:pPr>
      <w:r>
        <w:rPr>
          <w:sz w:val="21"/>
          <w:szCs w:val="21"/>
        </w:rPr>
        <w:t xml:space="preserve">Menu « Utilisateurs » (visible uniquement si on a cette capacité) → « Créer un compte ».</w:t>
      </w:r>
    </w:p>
    <w:p>
      <w:pPr>
        <w:pStyle w:val="ListParagraph"/>
        <w:numPr>
          <w:ilvl w:val="0"/>
          <w:numId w:val="1"/>
        </w:numPr>
        <w:spacing w:after="80"/>
      </w:pPr>
      <w:r>
        <w:rPr>
          <w:sz w:val="21"/>
          <w:szCs w:val="21"/>
        </w:rPr>
        <w:t xml:space="preserve">Renseigner l'email, le nom complet, et choisir le rôle dans la liste déroulante.</w:t>
      </w:r>
    </w:p>
    <w:p>
      <w:pPr>
        <w:pStyle w:val="ListParagraph"/>
        <w:numPr>
          <w:ilvl w:val="0"/>
          <w:numId w:val="1"/>
        </w:numPr>
        <w:spacing w:after="80"/>
      </w:pPr>
      <w:r>
        <w:rPr>
          <w:sz w:val="21"/>
          <w:szCs w:val="21"/>
        </w:rPr>
        <w:t xml:space="preserve">Le compte est créé SANS mot de passe utilisable. Un email est envoyé automatiquement à la personne, avec un lien pour choisir son propre mot de passe.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URLs techniques (pour référence) : accounts:user_manage_list (liste), accounts:user_manage_create (création), accounts:user_manage_detail (modification du rôle / activation-désactivation), accounts:user_manage_resend_link (renvoi du lien).</w:t>
      </w:r>
    </w:p>
    <w:p>
      <w:pPr>
        <w:pStyle w:val="Heading2"/>
        <w:spacing w:after="130" w:before="320"/>
      </w:pPr>
      <w:r>
        <w:rPr>
          <w:b/>
          <w:bCs/>
          <w:color w:val="3B4A9E"/>
          <w:sz w:val="24"/>
          <w:szCs w:val="24"/>
        </w:rPr>
        <w:t xml:space="preserve">5.3 — Comptes d'organisation (Responsable, DSI)</w:t>
      </w:r>
    </w:p>
    <w:p>
      <w:pPr>
        <w:spacing w:after="160" w:line="300"/>
      </w:pPr>
      <w:r>
        <w:rPr>
          <w:color w:val="1A1A1A"/>
          <w:sz w:val="21"/>
          <w:szCs w:val="21"/>
        </w:rPr>
        <w:t xml:space="preserve">Requiert la capacité MANAGE_ORGANIZATION sur l'organisation concernée, ou MANAGE_ALL_ORGANIZATIONS (Super-admin, Coordinateur national — peuvent agir sur n'importe quelle organisation).</w:t>
      </w:r>
    </w:p>
    <w:p>
      <w:pPr>
        <w:pStyle w:val="ListParagraph"/>
        <w:numPr>
          <w:ilvl w:val="0"/>
          <w:numId w:val="1"/>
        </w:numPr>
        <w:spacing w:after="80"/>
      </w:pPr>
      <w:r>
        <w:rPr>
          <w:sz w:val="21"/>
          <w:szCs w:val="21"/>
        </w:rPr>
        <w:t xml:space="preserve">Menu « Organisations » → cliquer sur le nom de l'organisation concernée → « Ajouter un membre ».</w:t>
      </w:r>
    </w:p>
    <w:p>
      <w:pPr>
        <w:pStyle w:val="ListParagraph"/>
        <w:numPr>
          <w:ilvl w:val="0"/>
          <w:numId w:val="1"/>
        </w:numPr>
        <w:spacing w:after="80"/>
      </w:pPr>
      <w:r>
        <w:rPr>
          <w:sz w:val="21"/>
          <w:szCs w:val="21"/>
        </w:rPr>
        <w:t xml:space="preserve">Saisir l'email de la personne et l'étiquette d'appartenance souhaitée (Responsable, DSI, etc. — voir §4).</w:t>
      </w:r>
    </w:p>
    <w:p>
      <w:pPr>
        <w:pStyle w:val="ListParagraph"/>
        <w:numPr>
          <w:ilvl w:val="0"/>
          <w:numId w:val="1"/>
        </w:numPr>
        <w:spacing w:after="80"/>
      </w:pPr>
      <w:r>
        <w:rPr>
          <w:sz w:val="21"/>
          <w:szCs w:val="21"/>
        </w:rPr>
        <w:t xml:space="preserve">Si cet email n'a pas encore de compte, il est créé automatiquement avec le rôle global ORGANIZATION_MANAGER, et rattaché à cette organisation.</w:t>
      </w:r>
    </w:p>
    <w:p>
      <w:pPr>
        <w:pStyle w:val="ListParagraph"/>
        <w:numPr>
          <w:ilvl w:val="0"/>
          <w:numId w:val="1"/>
        </w:numPr>
        <w:spacing w:after="80"/>
      </w:pPr>
      <w:r>
        <w:rPr>
          <w:sz w:val="21"/>
          <w:szCs w:val="21"/>
        </w:rPr>
        <w:t xml:space="preserve">Si cet email correspond déjà à un compte existant, il est simplement rattaché à cette organisation en plus (un compte peut appartenir à plusieurs organisations).</w:t>
      </w:r>
    </w:p>
    <w:p>
      <w:pPr>
        <w:pStyle w:val="ListParagraph"/>
        <w:numPr>
          <w:ilvl w:val="0"/>
          <w:numId w:val="1"/>
        </w:numPr>
        <w:spacing w:after="80"/>
      </w:pPr>
      <w:r>
        <w:rPr>
          <w:sz w:val="21"/>
          <w:szCs w:val="21"/>
        </w:rPr>
        <w:t xml:space="preserve">Un email d'invitation avec lien de définition de mot de passe part automatiquement dans le cas d'une création.</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URL technique : organizations:member_add (POST depuis la fiche de l'organisation, organizations:manage).</w:t>
      </w:r>
    </w:p>
    <w:p>
      <w:pPr>
        <w:pStyle w:val="Heading2"/>
        <w:spacing w:after="130" w:before="320"/>
      </w:pPr>
      <w:r>
        <w:rPr>
          <w:b/>
          <w:bCs/>
          <w:color w:val="3B4A9E"/>
          <w:sz w:val="24"/>
          <w:szCs w:val="24"/>
        </w:rPr>
        <w:t xml:space="preserve">5.4 — Comptes chercheur (Chercheur en sécurité, Chercheur Bug Bounty)</w:t>
      </w:r>
    </w:p>
    <w:p>
      <w:pPr>
        <w:spacing w:after="160" w:line="300"/>
      </w:pPr>
      <w:r>
        <w:rPr>
          <w:color w:val="1A1A1A"/>
          <w:sz w:val="21"/>
          <w:szCs w:val="21"/>
        </w:rPr>
        <w:t xml:space="preserve">Aucune capacité requise — c'est le seul flux entièrement libre-service.</w:t>
      </w:r>
    </w:p>
    <w:p>
      <w:pPr>
        <w:pStyle w:val="ListParagraph"/>
        <w:numPr>
          <w:ilvl w:val="0"/>
          <w:numId w:val="1"/>
        </w:numPr>
        <w:spacing w:after="80"/>
      </w:pPr>
      <w:r>
        <w:rPr>
          <w:sz w:val="21"/>
          <w:szCs w:val="21"/>
        </w:rPr>
        <w:t xml:space="preserve">La personne se rend elle-même sur la page d'inscription publique.</w:t>
      </w:r>
    </w:p>
    <w:p>
      <w:pPr>
        <w:pStyle w:val="ListParagraph"/>
        <w:numPr>
          <w:ilvl w:val="0"/>
          <w:numId w:val="1"/>
        </w:numPr>
        <w:spacing w:after="80"/>
      </w:pPr>
      <w:r>
        <w:rPr>
          <w:sz w:val="21"/>
          <w:szCs w:val="21"/>
        </w:rPr>
        <w:t xml:space="preserve">Elle choisit son « Type de compte » : Chercheur en sécurité ou Chercheur Bug Bounty (seuls les deux choix proposés — le formulaire refuse explicitement toute autre valeur, même si elle était forcée dans la requête).</w:t>
      </w:r>
    </w:p>
    <w:p>
      <w:pPr>
        <w:pStyle w:val="ListParagraph"/>
        <w:numPr>
          <w:ilvl w:val="0"/>
          <w:numId w:val="1"/>
        </w:numPr>
        <w:spacing w:after="80"/>
      </w:pPr>
      <w:r>
        <w:rPr>
          <w:sz w:val="21"/>
          <w:szCs w:val="21"/>
        </w:rPr>
        <w:t xml:space="preserve">Elle définit elle-même son mot de passe dès l'inscription (pas de lien à recevoir).</w:t>
      </w:r>
    </w:p>
    <w:p>
      <w:pPr>
        <w:pStyle w:val="ListParagraph"/>
        <w:numPr>
          <w:ilvl w:val="0"/>
          <w:numId w:val="1"/>
        </w:numPr>
        <w:spacing w:after="80"/>
      </w:pPr>
      <w:r>
        <w:rPr>
          <w:sz w:val="21"/>
          <w:szCs w:val="21"/>
        </w:rPr>
        <w:t xml:space="preserve">Un email de vérification d'adresse est envoyé ; la vérification devient obligatoire uniquement pour soumettre à un programme Bug Bounty avec récompense.</w:t>
      </w:r>
    </w:p>
    <w:p>
      <w:r>
        <w:br w:type="page"/>
      </w:r>
    </w:p>
    <w:p>
      <w:pPr>
        <w:pStyle w:val="Heading1"/>
        <w:pBdr>
          <w:bottom w:val="single" w:color="1E2761" w:sz="6" w:space="4"/>
        </w:pBdr>
        <w:spacing w:after="200" w:before="420"/>
      </w:pPr>
      <w:r>
        <w:rPr>
          <w:b/>
          <w:bCs/>
          <w:color w:val="1E2761"/>
          <w:sz w:val="30"/>
          <w:szCs w:val="30"/>
        </w:rPr>
        <w:t xml:space="preserve">6. Qui peut créer qui — tableau récapitulatif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Pour créer / inviter…</w:t>
            </w:r>
          </w:p>
        </w:tc>
        <w:tc>
          <w:tcPr>
            <w:tcW w:type="pct" w:w="40%"/>
            <w:shd w:fill="1E2761" w:val="clear"/>
            <w:tcMar>
              <w:top w:type="dxa" w:w="80"/>
              <w:left w:type="dxa" w:w="100"/>
              <w:bottom w:type="dxa" w:w="80"/>
              <w:right w:type="dxa" w:w="100"/>
            </w:tcMar>
            <w:vAlign w:val="center"/>
          </w:tcPr>
          <w:p>
            <w:r>
              <w:rPr>
                <w:b/>
                <w:bCs/>
                <w:color w:val="FFFFFF"/>
                <w:sz w:val="19"/>
                <w:szCs w:val="19"/>
              </w:rPr>
              <w:t xml:space="preserve">Il faut être…</w:t>
            </w:r>
          </w:p>
        </w:tc>
        <w:tc>
          <w:tcPr>
            <w:tcW w:type="pct" w:w="30%"/>
            <w:shd w:fill="1E2761" w:val="clear"/>
            <w:tcMar>
              <w:top w:type="dxa" w:w="80"/>
              <w:left w:type="dxa" w:w="100"/>
              <w:bottom w:type="dxa" w:w="80"/>
              <w:right w:type="dxa" w:w="100"/>
            </w:tcMar>
            <w:vAlign w:val="center"/>
          </w:tcPr>
          <w:p>
            <w:r>
              <w:rPr>
                <w:b/>
                <w:bCs/>
                <w:color w:val="FFFFFF"/>
                <w:sz w:val="19"/>
                <w:szCs w:val="19"/>
              </w:rPr>
              <w:t xml:space="preserve">Où</w:t>
            </w:r>
          </w:p>
        </w:tc>
      </w:tr>
      <w:tr>
        <w:tc>
          <w:tcPr>
            <w:tcW w:type="pct" w:w="30%"/>
            <w:tcMar>
              <w:top w:type="dxa" w:w="80"/>
              <w:left w:type="dxa" w:w="100"/>
              <w:bottom w:type="dxa" w:w="80"/>
              <w:right w:type="dxa" w:w="100"/>
            </w:tcMar>
            <w:vAlign w:val="center"/>
          </w:tcPr>
          <w:p>
            <w:r>
              <w:rPr>
                <w:b w:val="false"/>
                <w:bCs w:val="false"/>
                <w:color w:val="1A1A1A"/>
                <w:sz w:val="19"/>
                <w:szCs w:val="19"/>
              </w:rPr>
              <w:t xml:space="preserve">Super-admin</w:t>
            </w:r>
          </w:p>
        </w:tc>
        <w:tc>
          <w:tcPr>
            <w:tcW w:type="pct" w:w="40%"/>
            <w:tcMar>
              <w:top w:type="dxa" w:w="80"/>
              <w:left w:type="dxa" w:w="100"/>
              <w:bottom w:type="dxa" w:w="80"/>
              <w:right w:type="dxa" w:w="100"/>
            </w:tcMar>
            <w:vAlign w:val="center"/>
          </w:tcPr>
          <w:p>
            <w:r>
              <w:rPr>
                <w:b w:val="false"/>
                <w:bCs w:val="false"/>
                <w:color w:val="1A1A1A"/>
                <w:sz w:val="19"/>
                <w:szCs w:val="19"/>
              </w:rPr>
              <w:t xml:space="preserve">Super-admin (accès CLI uniquement)</w:t>
            </w:r>
          </w:p>
        </w:tc>
        <w:tc>
          <w:tcPr>
            <w:tcW w:type="pct" w:w="30%"/>
            <w:tcMar>
              <w:top w:type="dxa" w:w="80"/>
              <w:left w:type="dxa" w:w="100"/>
              <w:bottom w:type="dxa" w:w="80"/>
              <w:right w:type="dxa" w:w="100"/>
            </w:tcMar>
            <w:vAlign w:val="center"/>
          </w:tcPr>
          <w:p>
            <w:r>
              <w:rPr>
                <w:b w:val="false"/>
                <w:bCs w:val="false"/>
                <w:color w:val="1A1A1A"/>
                <w:sz w:val="19"/>
                <w:szCs w:val="19"/>
              </w:rPr>
              <w:t xml:space="preserve">Terminal serveur : python manage.py createsuperuser</w:t>
            </w:r>
          </w:p>
        </w:tc>
      </w:tr>
      <w:tr>
        <w:tc>
          <w:tcPr>
            <w:tcW w:type="pct" w:w="30%"/>
            <w:tcMar>
              <w:top w:type="dxa" w:w="80"/>
              <w:left w:type="dxa" w:w="100"/>
              <w:bottom w:type="dxa" w:w="80"/>
              <w:right w:type="dxa" w:w="100"/>
            </w:tcMar>
            <w:vAlign w:val="center"/>
          </w:tcPr>
          <w:p>
            <w:r>
              <w:rPr>
                <w:b w:val="false"/>
                <w:bCs w:val="false"/>
                <w:color w:val="1A1A1A"/>
                <w:sz w:val="19"/>
                <w:szCs w:val="19"/>
              </w:rPr>
              <w:t xml:space="preserve">Coordinateur national, Analyste CSIRT, Agent de triage, Auditeur</w:t>
            </w:r>
          </w:p>
        </w:tc>
        <w:tc>
          <w:tcPr>
            <w:tcW w:type="pct" w:w="40%"/>
            <w:tcMar>
              <w:top w:type="dxa" w:w="80"/>
              <w:left w:type="dxa" w:w="100"/>
              <w:bottom w:type="dxa" w:w="80"/>
              <w:right w:type="dxa" w:w="100"/>
            </w:tcMar>
            <w:vAlign w:val="center"/>
          </w:tcPr>
          <w:p>
            <w:r>
              <w:rPr>
                <w:b w:val="false"/>
                <w:bCs w:val="false"/>
                <w:color w:val="1A1A1A"/>
                <w:sz w:val="19"/>
                <w:szCs w:val="19"/>
              </w:rPr>
              <w:t xml:space="preserve">Super-admin ou Coordinateur national (capacité MANAGE_USERS)</w:t>
            </w:r>
          </w:p>
        </w:tc>
        <w:tc>
          <w:tcPr>
            <w:tcW w:type="pct" w:w="30%"/>
            <w:tcMar>
              <w:top w:type="dxa" w:w="80"/>
              <w:left w:type="dxa" w:w="100"/>
              <w:bottom w:type="dxa" w:w="80"/>
              <w:right w:type="dxa" w:w="100"/>
            </w:tcMar>
            <w:vAlign w:val="center"/>
          </w:tcPr>
          <w:p>
            <w:r>
              <w:rPr>
                <w:b w:val="false"/>
                <w:bCs w:val="false"/>
                <w:color w:val="1A1A1A"/>
                <w:sz w:val="19"/>
                <w:szCs w:val="19"/>
              </w:rPr>
              <w:t xml:space="preserve">Menu « Utilisateurs » → Créer un compte</w:t>
            </w:r>
          </w:p>
        </w:tc>
      </w:tr>
      <w:tr>
        <w:tc>
          <w:tcPr>
            <w:tcW w:type="pct" w:w="30%"/>
            <w:tcMar>
              <w:top w:type="dxa" w:w="80"/>
              <w:left w:type="dxa" w:w="100"/>
              <w:bottom w:type="dxa" w:w="80"/>
              <w:right w:type="dxa" w:w="100"/>
            </w:tcMar>
            <w:vAlign w:val="center"/>
          </w:tcPr>
          <w:p>
            <w:r>
              <w:rPr>
                <w:b w:val="false"/>
                <w:bCs w:val="false"/>
                <w:color w:val="1A1A1A"/>
                <w:sz w:val="19"/>
                <w:szCs w:val="19"/>
              </w:rPr>
              <w:t xml:space="preserve">Administrateur DSI / Responsable d'organisation, pour UNE organisation donnée</w:t>
            </w:r>
          </w:p>
        </w:tc>
        <w:tc>
          <w:tcPr>
            <w:tcW w:type="pct" w:w="40%"/>
            <w:tcMar>
              <w:top w:type="dxa" w:w="80"/>
              <w:left w:type="dxa" w:w="100"/>
              <w:bottom w:type="dxa" w:w="80"/>
              <w:right w:type="dxa" w:w="100"/>
            </w:tcMar>
            <w:vAlign w:val="center"/>
          </w:tcPr>
          <w:p>
            <w:r>
              <w:rPr>
                <w:b w:val="false"/>
                <w:bCs w:val="false"/>
                <w:color w:val="1A1A1A"/>
                <w:sz w:val="19"/>
                <w:szCs w:val="19"/>
              </w:rPr>
              <w:t xml:space="preserve">Super-admin, Coordinateur national, ou un DSI/Responsable déjà membre de CETTE organisation (capacité MANAGE_ORGANIZATION ou MANAGE_ALL_ORGANIZATIONS)</w:t>
            </w:r>
          </w:p>
        </w:tc>
        <w:tc>
          <w:tcPr>
            <w:tcW w:type="pct" w:w="30%"/>
            <w:tcMar>
              <w:top w:type="dxa" w:w="80"/>
              <w:left w:type="dxa" w:w="100"/>
              <w:bottom w:type="dxa" w:w="80"/>
              <w:right w:type="dxa" w:w="100"/>
            </w:tcMar>
            <w:vAlign w:val="center"/>
          </w:tcPr>
          <w:p>
            <w:r>
              <w:rPr>
                <w:b w:val="false"/>
                <w:bCs w:val="false"/>
                <w:color w:val="1A1A1A"/>
                <w:sz w:val="19"/>
                <w:szCs w:val="19"/>
              </w:rPr>
              <w:t xml:space="preserve">Menu « Organisations » → [nom de l'organisation] → Ajouter un membre</w:t>
            </w:r>
          </w:p>
        </w:tc>
      </w:tr>
      <w:tr>
        <w:tc>
          <w:tcPr>
            <w:tcW w:type="pct" w:w="30%"/>
            <w:tcMar>
              <w:top w:type="dxa" w:w="80"/>
              <w:left w:type="dxa" w:w="100"/>
              <w:bottom w:type="dxa" w:w="80"/>
              <w:right w:type="dxa" w:w="100"/>
            </w:tcMar>
            <w:vAlign w:val="center"/>
          </w:tcPr>
          <w:p>
            <w:r>
              <w:rPr>
                <w:b w:val="false"/>
                <w:bCs w:val="false"/>
                <w:color w:val="1A1A1A"/>
                <w:sz w:val="19"/>
                <w:szCs w:val="19"/>
              </w:rPr>
              <w:t xml:space="preserve">Chercheur en sécurité / Chercheur Bug Bounty</w:t>
            </w:r>
          </w:p>
        </w:tc>
        <w:tc>
          <w:tcPr>
            <w:tcW w:type="pct" w:w="40%"/>
            <w:tcMar>
              <w:top w:type="dxa" w:w="80"/>
              <w:left w:type="dxa" w:w="100"/>
              <w:bottom w:type="dxa" w:w="80"/>
              <w:right w:type="dxa" w:w="100"/>
            </w:tcMar>
            <w:vAlign w:val="center"/>
          </w:tcPr>
          <w:p>
            <w:r>
              <w:rPr>
                <w:b w:val="false"/>
                <w:bCs w:val="false"/>
                <w:color w:val="1A1A1A"/>
                <w:sz w:val="19"/>
                <w:szCs w:val="19"/>
              </w:rPr>
              <w:t xml:space="preserve">Personne — en libre-service</w:t>
            </w:r>
          </w:p>
        </w:tc>
        <w:tc>
          <w:tcPr>
            <w:tcW w:type="pct" w:w="30%"/>
            <w:tcMar>
              <w:top w:type="dxa" w:w="80"/>
              <w:left w:type="dxa" w:w="100"/>
              <w:bottom w:type="dxa" w:w="80"/>
              <w:right w:type="dxa" w:w="100"/>
            </w:tcMar>
            <w:vAlign w:val="center"/>
          </w:tcPr>
          <w:p>
            <w:r>
              <w:rPr>
                <w:b w:val="false"/>
                <w:bCs w:val="false"/>
                <w:color w:val="1A1A1A"/>
                <w:sz w:val="19"/>
                <w:szCs w:val="19"/>
              </w:rPr>
              <w:t xml:space="preserve">Page d'inscription publique (lien « S'inscrire »)</w:t>
            </w:r>
          </w:p>
        </w:tc>
      </w:tr>
    </w:tbl>
    <w:p>
      <w:pPr>
        <w:pStyle w:val="Heading1"/>
        <w:pBdr>
          <w:bottom w:val="single" w:color="1E2761" w:sz="6" w:space="4"/>
        </w:pBdr>
        <w:spacing w:after="200" w:before="420"/>
      </w:pPr>
      <w:r>
        <w:rPr>
          <w:b/>
          <w:bCs/>
          <w:color w:val="1E2761"/>
          <w:sz w:val="30"/>
          <w:szCs w:val="30"/>
        </w:rPr>
        <w:t xml:space="preserve">7. Pourquoi ce système de création est sécurisé et professionnel</w:t>
      </w:r>
    </w:p>
    <w:p>
      <w:pPr>
        <w:spacing w:after="160" w:line="300"/>
      </w:pPr>
      <w:r>
        <w:rPr>
          <w:color w:val="1A1A1A"/>
          <w:sz w:val="21"/>
          <w:szCs w:val="21"/>
        </w:rPr>
        <w:t xml:space="preserve">Plusieurs choix de conception, vérifiés directement dans le code, justifient ce fonctionnement :</w:t>
      </w:r>
    </w:p>
    <w:p>
      <w:pPr>
        <w:pStyle w:val="ListParagraph"/>
        <w:numPr>
          <w:ilvl w:val="0"/>
          <w:numId w:val="1"/>
        </w:numPr>
        <w:spacing w:after="80"/>
      </w:pPr>
      <w:r>
        <w:rPr>
          <w:sz w:val="21"/>
          <w:szCs w:val="21"/>
        </w:rPr>
        <w:t xml:space="preserve">Aucune élévation de privilège par auto-inscription : le formulaire public ne propose jamais les rôles CSIRT/national/organisation, et le serveur revalide le rôle soumis quoi qu'il arrive côté formulaire.</w:t>
      </w:r>
    </w:p>
    <w:p>
      <w:pPr>
        <w:pStyle w:val="ListParagraph"/>
        <w:numPr>
          <w:ilvl w:val="0"/>
          <w:numId w:val="1"/>
        </w:numPr>
        <w:spacing w:after="80"/>
      </w:pPr>
      <w:r>
        <w:rPr>
          <w:sz w:val="21"/>
          <w:szCs w:val="21"/>
        </w:rPr>
        <w:t xml:space="preserve">Le mot de passe n'est jamais choisi ni transmis par la personne qui crée le compte : elle envoie un lien, la personne concernée définit elle-même son mot de passe — aucun mot de passe initial en clair ne circule par email ou entre collègues.</w:t>
      </w:r>
    </w:p>
    <w:p>
      <w:pPr>
        <w:pStyle w:val="ListParagraph"/>
        <w:numPr>
          <w:ilvl w:val="0"/>
          <w:numId w:val="1"/>
        </w:numPr>
        <w:spacing w:after="80"/>
      </w:pPr>
      <w:r>
        <w:rPr>
          <w:sz w:val="21"/>
          <w:szCs w:val="21"/>
        </w:rPr>
        <w:t xml:space="preserve">Double authentification obligatoire (pas seulement proposée) pour tout rôle ayant accès à des vulnérabilités non corrigées sur des systèmes sensibles (rôles CSIRT/national et organisation).</w:t>
      </w:r>
    </w:p>
    <w:p>
      <w:pPr>
        <w:pStyle w:val="ListParagraph"/>
        <w:numPr>
          <w:ilvl w:val="0"/>
          <w:numId w:val="1"/>
        </w:numPr>
        <w:spacing w:after="80"/>
      </w:pPr>
      <w:r>
        <w:rPr>
          <w:sz w:val="21"/>
          <w:szCs w:val="21"/>
        </w:rPr>
        <w:t xml:space="preserve">Traçabilité systématique : toute création de compte, tout changement de rôle, toute invitation à une organisation est enregistrée dans le journal d'audit, avec l'auteur de l'action.</w:t>
      </w:r>
    </w:p>
    <w:p>
      <w:pPr>
        <w:pStyle w:val="ListParagraph"/>
        <w:numPr>
          <w:ilvl w:val="0"/>
          <w:numId w:val="1"/>
        </w:numPr>
        <w:spacing w:after="80"/>
      </w:pPr>
      <w:r>
        <w:rPr>
          <w:sz w:val="21"/>
          <w:szCs w:val="21"/>
        </w:rPr>
        <w:t xml:space="preserve">Principe du moindre privilège : chaque rôle n'a que les capacités explicitement listées pour lui — rien n'est hérité ou supposé implicitement.</w:t>
      </w:r>
    </w:p>
    <w:p>
      <w:pPr>
        <w:pStyle w:val="ListParagraph"/>
        <w:numPr>
          <w:ilvl w:val="0"/>
          <w:numId w:val="1"/>
        </w:numPr>
        <w:spacing w:after="80"/>
      </w:pPr>
      <w:r>
        <w:rPr>
          <w:sz w:val="21"/>
          <w:szCs w:val="21"/>
        </w:rPr>
        <w:t xml:space="preserve">Délégation possible sans dépendre d'une seule personne : la capacité de créer des comptes CSIRT n'est pas réservée au seul Super-admin — un Coordinateur national peut aussi le faire, ce qui évite que la gestion courante de l'équipe dépende en permanence du compte super-administrateur technique.</w:t>
      </w:r>
    </w:p>
    <w:p>
      <w:pPr>
        <w:pStyle w:val="ListParagraph"/>
        <w:numPr>
          <w:ilvl w:val="0"/>
          <w:numId w:val="1"/>
        </w:numPr>
        <w:spacing w:after="80"/>
      </w:pPr>
      <w:r>
        <w:rPr>
          <w:sz w:val="21"/>
          <w:szCs w:val="21"/>
        </w:rPr>
        <w:t xml:space="preserve">Confidentialité de l'existence des comptes sensibles : un Coordinateur non super-admin ne peut même pas savoir qu'un compte Super-admin existe à telle adresse (réponse « introuvable », jamais « accès refusé », voir §2).</w:t>
      </w:r>
    </w:p>
    <w:p>
      <w:r>
        <w:br w:type="page"/>
      </w:r>
    </w:p>
    <w:p>
      <w:pPr>
        <w:pStyle w:val="Heading1"/>
        <w:pBdr>
          <w:bottom w:val="single" w:color="1E2761" w:sz="6" w:space="4"/>
        </w:pBdr>
        <w:spacing w:after="200" w:before="420"/>
      </w:pPr>
      <w:r>
        <w:rPr>
          <w:b/>
          <w:bCs/>
          <w:color w:val="1E2761"/>
          <w:sz w:val="30"/>
          <w:szCs w:val="30"/>
        </w:rPr>
        <w:t xml:space="preserve">8. Procédure de démarrage complet (nouvelle installation)</w:t>
      </w:r>
    </w:p>
    <w:p>
      <w:pPr>
        <w:spacing w:after="160" w:line="300"/>
      </w:pPr>
      <w:r>
        <w:rPr>
          <w:color w:val="1A1A1A"/>
          <w:sz w:val="21"/>
          <w:szCs w:val="21"/>
        </w:rPr>
        <w:t xml:space="preserve">Ordre recommandé pour quelqu'un qui clone le dépôt et démarre de zéro :</w:t>
      </w:r>
    </w:p>
    <w:p>
      <w:pPr>
        <w:pStyle w:val="ListParagraph"/>
        <w:numPr>
          <w:ilvl w:val="0"/>
          <w:numId w:val="2"/>
        </w:numPr>
        <w:spacing w:after="140"/>
      </w:pPr>
      <w:r>
        <w:rPr>
          <w:sz w:val="21"/>
          <w:szCs w:val="21"/>
        </w:rPr>
        <w:t xml:space="preserve">Créer le tout premier compte (Super-admin) en ligne de commande — déjà fait sur cette VM via createsuperuser.</w:t>
      </w:r>
    </w:p>
    <w:p>
      <w:pPr>
        <w:pStyle w:val="ListParagraph"/>
        <w:numPr>
          <w:ilvl w:val="0"/>
          <w:numId w:val="2"/>
        </w:numPr>
        <w:spacing w:after="140"/>
      </w:pPr>
      <w:r>
        <w:rPr>
          <w:sz w:val="21"/>
          <w:szCs w:val="21"/>
        </w:rPr>
        <w:t xml:space="preserve">Se connecter avec ce compte, charger les données de référence (seed_reference --with-programs) si pas déjà fait — organisations réelles, CWE, politique SLA, programmes.</w:t>
      </w:r>
    </w:p>
    <w:p>
      <w:pPr>
        <w:pStyle w:val="ListParagraph"/>
        <w:numPr>
          <w:ilvl w:val="0"/>
          <w:numId w:val="2"/>
        </w:numPr>
        <w:spacing w:after="140"/>
      </w:pPr>
      <w:r>
        <w:rPr>
          <w:sz w:val="21"/>
          <w:szCs w:val="21"/>
        </w:rPr>
        <w:t xml:space="preserve">Menu Utilisateurs → Créer un compte → créer au moins un Coordinateur national. Cela permet de déléguer ensuite la gestion courante des comptes CSIRT sans repasser par le Super-admin à chaque fois.</w:t>
      </w:r>
    </w:p>
    <w:p>
      <w:pPr>
        <w:pStyle w:val="ListParagraph"/>
        <w:numPr>
          <w:ilvl w:val="0"/>
          <w:numId w:val="2"/>
        </w:numPr>
        <w:spacing w:after="140"/>
      </w:pPr>
      <w:r>
        <w:rPr>
          <w:sz w:val="21"/>
          <w:szCs w:val="21"/>
        </w:rPr>
        <w:t xml:space="preserve">Menu Organisations → choisir une organisation (ex. CSIRT National, un ministère) → Ajouter un membre → inviter la ou les personnes qui doivent avoir un accès Responsable/DSI pour cette organisation.</w:t>
      </w:r>
    </w:p>
    <w:p>
      <w:pPr>
        <w:pStyle w:val="ListParagraph"/>
        <w:numPr>
          <w:ilvl w:val="0"/>
          <w:numId w:val="2"/>
        </w:numPr>
        <w:spacing w:after="140"/>
      </w:pPr>
      <w:r>
        <w:rPr>
          <w:sz w:val="21"/>
          <w:szCs w:val="21"/>
        </w:rPr>
        <w:t xml:space="preserve">Communiquer le lien d'inscription publique aux chercheurs externes — aucune action administrative requise de leur côté.</w:t>
      </w:r>
    </w:p>
    <w:p>
      <w:pPr>
        <w:pStyle w:val="ListParagraph"/>
        <w:numPr>
          <w:ilvl w:val="0"/>
          <w:numId w:val="2"/>
        </w:numPr>
        <w:spacing w:after="140"/>
      </w:pPr>
      <w:r>
        <w:rPr>
          <w:sz w:val="21"/>
          <w:szCs w:val="21"/>
        </w:rPr>
        <w:t xml:space="preserve">Vérifier dans Utilisateurs que chaque compte créé a bien reçu son email d'invitation (bouton « Renvoyer le lien » si besoin).</w:t>
      </w:r>
    </w:p>
    <w:p>
      <w:r>
        <w:br w:type="page"/>
      </w:r>
    </w:p>
    <w:p>
      <w:pPr>
        <w:pStyle w:val="Heading1"/>
        <w:pBdr>
          <w:bottom w:val="single" w:color="1E2761" w:sz="6" w:space="4"/>
        </w:pBdr>
        <w:spacing w:after="200" w:before="420"/>
      </w:pPr>
      <w:r>
        <w:rPr>
          <w:b/>
          <w:bCs/>
          <w:color w:val="1E2761"/>
          <w:sz w:val="30"/>
          <w:szCs w:val="30"/>
        </w:rPr>
        <w:t xml:space="preserve">9. Foire aux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E2761" w:val="clear"/>
            <w:tcMar>
              <w:top w:type="dxa" w:w="80"/>
              <w:left w:type="dxa" w:w="100"/>
              <w:bottom w:type="dxa" w:w="80"/>
              <w:right w:type="dxa" w:w="100"/>
            </w:tcMar>
            <w:vAlign w:val="center"/>
          </w:tcPr>
          <w:p>
            <w:r>
              <w:rPr>
                <w:b/>
                <w:bCs/>
                <w:color w:val="FFFFFF"/>
                <w:sz w:val="19"/>
                <w:szCs w:val="19"/>
              </w:rPr>
              <w:t xml:space="preserve">Question</w:t>
            </w:r>
          </w:p>
        </w:tc>
        <w:tc>
          <w:tcPr>
            <w:tcW w:type="pct" w:w="65%"/>
            <w:shd w:fill="1E2761" w:val="clear"/>
            <w:tcMar>
              <w:top w:type="dxa" w:w="80"/>
              <w:left w:type="dxa" w:w="100"/>
              <w:bottom w:type="dxa" w:w="80"/>
              <w:right w:type="dxa" w:w="100"/>
            </w:tcMar>
            <w:vAlign w:val="center"/>
          </w:tcPr>
          <w:p>
            <w:r>
              <w:rPr>
                <w:b/>
                <w:bCs/>
                <w:color w:val="FFFFFF"/>
                <w:sz w:val="19"/>
                <w:szCs w:val="19"/>
              </w:rPr>
              <w:t xml:space="preserve">Réponse</w:t>
            </w:r>
          </w:p>
        </w:tc>
      </w:tr>
      <w:tr>
        <w:tc>
          <w:tcPr>
            <w:tcW w:type="pct" w:w="35%"/>
            <w:tcMar>
              <w:top w:type="dxa" w:w="80"/>
              <w:left w:type="dxa" w:w="100"/>
              <w:bottom w:type="dxa" w:w="80"/>
              <w:right w:type="dxa" w:w="100"/>
            </w:tcMar>
            <w:vAlign w:val="center"/>
          </w:tcPr>
          <w:p>
            <w:r>
              <w:rPr>
                <w:b w:val="false"/>
                <w:bCs w:val="false"/>
                <w:color w:val="1A1A1A"/>
                <w:sz w:val="19"/>
                <w:szCs w:val="19"/>
              </w:rPr>
              <w:t xml:space="preserve">Un utilisateur peut-il changer son propre rôle ?</w:t>
            </w:r>
          </w:p>
        </w:tc>
        <w:tc>
          <w:tcPr>
            <w:tcW w:type="pct" w:w="65%"/>
            <w:tcMar>
              <w:top w:type="dxa" w:w="80"/>
              <w:left w:type="dxa" w:w="100"/>
              <w:bottom w:type="dxa" w:w="80"/>
              <w:right w:type="dxa" w:w="100"/>
            </w:tcMar>
            <w:vAlign w:val="center"/>
          </w:tcPr>
          <w:p>
            <w:r>
              <w:rPr>
                <w:b w:val="false"/>
                <w:bCs w:val="false"/>
                <w:color w:val="1A1A1A"/>
                <w:sz w:val="19"/>
                <w:szCs w:val="19"/>
              </w:rPr>
              <w:t xml:space="preserve">Non, jamais. Le champ role n'est accessible que via les écrans de gestion réservés aux détenteurs de MANAGE_USERS, jamais depuis le profil de l'utilisateur lui-même — c'est une règle explicite du modèle de données (commentaire dans le code : « Jamais modifiable par l'utilisateur lui-même »).</w:t>
            </w:r>
          </w:p>
        </w:tc>
      </w:tr>
      <w:tr>
        <w:tc>
          <w:tcPr>
            <w:tcW w:type="pct" w:w="35%"/>
            <w:tcMar>
              <w:top w:type="dxa" w:w="80"/>
              <w:left w:type="dxa" w:w="100"/>
              <w:bottom w:type="dxa" w:w="80"/>
              <w:right w:type="dxa" w:w="100"/>
            </w:tcMar>
            <w:vAlign w:val="center"/>
          </w:tcPr>
          <w:p>
            <w:r>
              <w:rPr>
                <w:b w:val="false"/>
                <w:bCs w:val="false"/>
                <w:color w:val="1A1A1A"/>
                <w:sz w:val="19"/>
                <w:szCs w:val="19"/>
              </w:rPr>
              <w:t xml:space="preserve">Comment changer le rôle de quelqu'un après coup ?</w:t>
            </w:r>
          </w:p>
        </w:tc>
        <w:tc>
          <w:tcPr>
            <w:tcW w:type="pct" w:w="65%"/>
            <w:tcMar>
              <w:top w:type="dxa" w:w="80"/>
              <w:left w:type="dxa" w:w="100"/>
              <w:bottom w:type="dxa" w:w="80"/>
              <w:right w:type="dxa" w:w="100"/>
            </w:tcMar>
            <w:vAlign w:val="center"/>
          </w:tcPr>
          <w:p>
            <w:r>
              <w:rPr>
                <w:b w:val="false"/>
                <w:bCs w:val="false"/>
                <w:color w:val="1A1A1A"/>
                <w:sz w:val="19"/>
                <w:szCs w:val="19"/>
              </w:rPr>
              <w:t xml:space="preserve">Menu Utilisateurs → cliquer sur « Gérer » à côté de la personne → modifier le champ Rôle → enregistrer. Chaque changement de rôle est tracé dans le journal d'audit.</w:t>
            </w:r>
          </w:p>
        </w:tc>
      </w:tr>
      <w:tr>
        <w:tc>
          <w:tcPr>
            <w:tcW w:type="pct" w:w="35%"/>
            <w:tcMar>
              <w:top w:type="dxa" w:w="80"/>
              <w:left w:type="dxa" w:w="100"/>
              <w:bottom w:type="dxa" w:w="80"/>
              <w:right w:type="dxa" w:w="100"/>
            </w:tcMar>
            <w:vAlign w:val="center"/>
          </w:tcPr>
          <w:p>
            <w:r>
              <w:rPr>
                <w:b w:val="false"/>
                <w:bCs w:val="false"/>
                <w:color w:val="1A1A1A"/>
                <w:sz w:val="19"/>
                <w:szCs w:val="19"/>
              </w:rPr>
              <w:t xml:space="preserve">La personne a perdu son lien de définition de mot de passe, que faire ?</w:t>
            </w:r>
          </w:p>
        </w:tc>
        <w:tc>
          <w:tcPr>
            <w:tcW w:type="pct" w:w="65%"/>
            <w:tcMar>
              <w:top w:type="dxa" w:w="80"/>
              <w:left w:type="dxa" w:w="100"/>
              <w:bottom w:type="dxa" w:w="80"/>
              <w:right w:type="dxa" w:w="100"/>
            </w:tcMar>
            <w:vAlign w:val="center"/>
          </w:tcPr>
          <w:p>
            <w:r>
              <w:rPr>
                <w:b w:val="false"/>
                <w:bCs w:val="false"/>
                <w:color w:val="1A1A1A"/>
                <w:sz w:val="19"/>
                <w:szCs w:val="19"/>
              </w:rPr>
              <w:t xml:space="preserve">Sur sa fiche (Utilisateurs → Gérer, ou Organisations → membre), un bouton renvoie un nouveau lien. Aucune limite au nombre de renvois.</w:t>
            </w:r>
          </w:p>
        </w:tc>
      </w:tr>
      <w:tr>
        <w:tc>
          <w:tcPr>
            <w:tcW w:type="pct" w:w="35%"/>
            <w:tcMar>
              <w:top w:type="dxa" w:w="80"/>
              <w:left w:type="dxa" w:w="100"/>
              <w:bottom w:type="dxa" w:w="80"/>
              <w:right w:type="dxa" w:w="100"/>
            </w:tcMar>
            <w:vAlign w:val="center"/>
          </w:tcPr>
          <w:p>
            <w:r>
              <w:rPr>
                <w:b w:val="false"/>
                <w:bCs w:val="false"/>
                <w:color w:val="1A1A1A"/>
                <w:sz w:val="19"/>
                <w:szCs w:val="19"/>
              </w:rPr>
              <w:t xml:space="preserve">Un compte peut-il appartenir à plusieurs organisations ?</w:t>
            </w:r>
          </w:p>
        </w:tc>
        <w:tc>
          <w:tcPr>
            <w:tcW w:type="pct" w:w="65%"/>
            <w:tcMar>
              <w:top w:type="dxa" w:w="80"/>
              <w:left w:type="dxa" w:w="100"/>
              <w:bottom w:type="dxa" w:w="80"/>
              <w:right w:type="dxa" w:w="100"/>
            </w:tcMar>
            <w:vAlign w:val="center"/>
          </w:tcPr>
          <w:p>
            <w:r>
              <w:rPr>
                <w:b w:val="false"/>
                <w:bCs w:val="false"/>
                <w:color w:val="1A1A1A"/>
                <w:sz w:val="19"/>
                <w:szCs w:val="19"/>
              </w:rPr>
              <w:t xml:space="preserve">Oui. La table de rattachement (OrganizationMember) autorise plusieurs organisations par utilisateur, avec un indicateur is_primary pour désigner l'organisation principale affichée par défaut.</w:t>
            </w:r>
          </w:p>
        </w:tc>
      </w:tr>
      <w:tr>
        <w:tc>
          <w:tcPr>
            <w:tcW w:type="pct" w:w="35%"/>
            <w:tcMar>
              <w:top w:type="dxa" w:w="80"/>
              <w:left w:type="dxa" w:w="100"/>
              <w:bottom w:type="dxa" w:w="80"/>
              <w:right w:type="dxa" w:w="100"/>
            </w:tcMar>
            <w:vAlign w:val="center"/>
          </w:tcPr>
          <w:p>
            <w:r>
              <w:rPr>
                <w:b w:val="false"/>
                <w:bCs w:val="false"/>
                <w:color w:val="1A1A1A"/>
                <w:sz w:val="19"/>
                <w:szCs w:val="19"/>
              </w:rPr>
              <w:t xml:space="preserve">Le champ « Responsable / DSI / Analyste / Observateur » choisi lors de l'ajout d'un membre — à quoi sert-il vraiment ?</w:t>
            </w:r>
          </w:p>
        </w:tc>
        <w:tc>
          <w:tcPr>
            <w:tcW w:type="pct" w:w="65%"/>
            <w:tcMar>
              <w:top w:type="dxa" w:w="80"/>
              <w:left w:type="dxa" w:w="100"/>
              <w:bottom w:type="dxa" w:w="80"/>
              <w:right w:type="dxa" w:w="100"/>
            </w:tcMar>
            <w:vAlign w:val="center"/>
          </w:tcPr>
          <w:p>
            <w:r>
              <w:rPr>
                <w:b w:val="false"/>
                <w:bCs w:val="false"/>
                <w:color w:val="1A1A1A"/>
                <w:sz w:val="19"/>
                <w:szCs w:val="19"/>
              </w:rPr>
              <w:t xml:space="preserve">C'est une étiquette informative (MembershipRole) affichée sur la fiche de l'organisation pour indiquer la fonction de la personne. Elle NE donne AUCUN droit en elle-même. Les droits réels viennent uniquement du rôle global de l'utilisateur (ORGANIZATION_MANAGER ou DSI_ADMIN), attribué automatiquement par le système à l'invitation. Voir §4 pour le détail de cette distinction, qui est la source de confusion la plus fréquente.</w:t>
            </w:r>
          </w:p>
        </w:tc>
      </w:tr>
      <w:tr>
        <w:tc>
          <w:tcPr>
            <w:tcW w:type="pct" w:w="35%"/>
            <w:tcMar>
              <w:top w:type="dxa" w:w="80"/>
              <w:left w:type="dxa" w:w="100"/>
              <w:bottom w:type="dxa" w:w="80"/>
              <w:right w:type="dxa" w:w="100"/>
            </w:tcMar>
            <w:vAlign w:val="center"/>
          </w:tcPr>
          <w:p>
            <w:r>
              <w:rPr>
                <w:b w:val="false"/>
                <w:bCs w:val="false"/>
                <w:color w:val="1A1A1A"/>
                <w:sz w:val="19"/>
                <w:szCs w:val="19"/>
              </w:rPr>
              <w:t xml:space="preserve">La double authentification (MFA) est-elle obligatoire ?</w:t>
            </w:r>
          </w:p>
        </w:tc>
        <w:tc>
          <w:tcPr>
            <w:tcW w:type="pct" w:w="65%"/>
            <w:tcMar>
              <w:top w:type="dxa" w:w="80"/>
              <w:left w:type="dxa" w:w="100"/>
              <w:bottom w:type="dxa" w:w="80"/>
              <w:right w:type="dxa" w:w="100"/>
            </w:tcMar>
            <w:vAlign w:val="center"/>
          </w:tcPr>
          <w:p>
            <w:r>
              <w:rPr>
                <w:b w:val="false"/>
                <w:bCs w:val="false"/>
                <w:color w:val="1A1A1A"/>
                <w:sz w:val="19"/>
                <w:szCs w:val="19"/>
              </w:rPr>
              <w:t xml:space="preserve">Oui, mais seulement pour les rôles CSIRT/national et organisation (accès à des vulnérabilités non corrigées sur des systèmes sensibles). Elle n'est pas imposée aux chercheurs.</w:t>
            </w:r>
          </w:p>
        </w:tc>
      </w:tr>
      <w:tr>
        <w:tc>
          <w:tcPr>
            <w:tcW w:type="pct" w:w="35%"/>
            <w:tcMar>
              <w:top w:type="dxa" w:w="80"/>
              <w:left w:type="dxa" w:w="100"/>
              <w:bottom w:type="dxa" w:w="80"/>
              <w:right w:type="dxa" w:w="100"/>
            </w:tcMar>
            <w:vAlign w:val="center"/>
          </w:tcPr>
          <w:p>
            <w:r>
              <w:rPr>
                <w:b w:val="false"/>
                <w:bCs w:val="false"/>
                <w:color w:val="1A1A1A"/>
                <w:sz w:val="19"/>
                <w:szCs w:val="19"/>
              </w:rPr>
              <w:t xml:space="preserve">Peut-on désactiver un compte au lieu de le supprimer ?</w:t>
            </w:r>
          </w:p>
        </w:tc>
        <w:tc>
          <w:tcPr>
            <w:tcW w:type="pct" w:w="65%"/>
            <w:tcMar>
              <w:top w:type="dxa" w:w="80"/>
              <w:left w:type="dxa" w:w="100"/>
              <w:bottom w:type="dxa" w:w="80"/>
              <w:right w:type="dxa" w:w="100"/>
            </w:tcMar>
            <w:vAlign w:val="center"/>
          </w:tcPr>
          <w:p>
            <w:r>
              <w:rPr>
                <w:b w:val="false"/>
                <w:bCs w:val="false"/>
                <w:color w:val="1A1A1A"/>
                <w:sz w:val="19"/>
                <w:szCs w:val="19"/>
              </w:rPr>
              <w:t xml:space="preserve">Oui — champ « Actif » décoché sur la fiche du compte (Utilisateurs → Gérer). Un compte désactivé ne peut plus se connecter. Une personne ne peut pas désactiver son propre compte (protection intégrée).</w:t>
            </w:r>
          </w:p>
        </w:tc>
      </w:tr>
      <w:tr>
        <w:tc>
          <w:tcPr>
            <w:tcW w:type="pct" w:w="35%"/>
            <w:tcMar>
              <w:top w:type="dxa" w:w="80"/>
              <w:left w:type="dxa" w:w="100"/>
              <w:bottom w:type="dxa" w:w="80"/>
              <w:right w:type="dxa" w:w="100"/>
            </w:tcMar>
            <w:vAlign w:val="center"/>
          </w:tcPr>
          <w:p>
            <w:r>
              <w:rPr>
                <w:b w:val="false"/>
                <w:bCs w:val="false"/>
                <w:color w:val="1A1A1A"/>
                <w:sz w:val="19"/>
                <w:szCs w:val="19"/>
              </w:rPr>
              <w:t xml:space="preserve">Un Coordinateur national peut-il voir/gérer un compte Super-admin ?</w:t>
            </w:r>
          </w:p>
        </w:tc>
        <w:tc>
          <w:tcPr>
            <w:tcW w:type="pct" w:w="65%"/>
            <w:tcMar>
              <w:top w:type="dxa" w:w="80"/>
              <w:left w:type="dxa" w:w="100"/>
              <w:bottom w:type="dxa" w:w="80"/>
              <w:right w:type="dxa" w:w="100"/>
            </w:tcMar>
            <w:vAlign w:val="center"/>
          </w:tcPr>
          <w:p>
            <w:r>
              <w:rPr>
                <w:b w:val="false"/>
                <w:bCs w:val="false"/>
                <w:color w:val="1A1A1A"/>
                <w:sz w:val="19"/>
                <w:szCs w:val="19"/>
              </w:rPr>
              <w:t xml:space="preserve">Non : si un Coordinateur (non super-admin) tente d'accéder à la fiche d'un compte Super-admin, la plateforme répond « Compte introuvable » (erreur 404) plutôt que « Accès refusé » (403) — délibérément, pour ne même pas confirmer qu'un tel compte existe à cette adresse.</w:t>
            </w:r>
          </w:p>
        </w:tc>
      </w:tr>
      <w:tr>
        <w:tc>
          <w:tcPr>
            <w:tcW w:type="pct" w:w="35%"/>
            <w:tcMar>
              <w:top w:type="dxa" w:w="80"/>
              <w:left w:type="dxa" w:w="100"/>
              <w:bottom w:type="dxa" w:w="80"/>
              <w:right w:type="dxa" w:w="100"/>
            </w:tcMar>
            <w:vAlign w:val="center"/>
          </w:tcPr>
          <w:p>
            <w:r>
              <w:rPr>
                <w:b w:val="false"/>
                <w:bCs w:val="false"/>
                <w:color w:val="1A1A1A"/>
                <w:sz w:val="19"/>
                <w:szCs w:val="19"/>
              </w:rPr>
              <w:t xml:space="preserve">Combien de temps un lien de définition de mot de passe reste-t-il valable ?</w:t>
            </w:r>
          </w:p>
        </w:tc>
        <w:tc>
          <w:tcPr>
            <w:tcW w:type="pct" w:w="65%"/>
            <w:tcMar>
              <w:top w:type="dxa" w:w="80"/>
              <w:left w:type="dxa" w:w="100"/>
              <w:bottom w:type="dxa" w:w="80"/>
              <w:right w:type="dxa" w:w="100"/>
            </w:tcMar>
            <w:vAlign w:val="center"/>
          </w:tcPr>
          <w:p>
            <w:r>
              <w:rPr>
                <w:b w:val="false"/>
                <w:bCs w:val="false"/>
                <w:color w:val="1A1A1A"/>
                <w:sz w:val="19"/>
                <w:szCs w:val="19"/>
              </w:rPr>
              <w:t xml:space="preserve">Le mécanisme réutilise la réinitialisation de mot de passe standard de Django (jeton signé, durée de validité par défaut du framework). Il peut être renvoyé à volonté si la personne tarde à l'utiliser.</w:t>
            </w:r>
          </w:p>
        </w:tc>
      </w:tr>
      <w:tr>
        <w:tc>
          <w:tcPr>
            <w:tcW w:type="pct" w:w="35%"/>
            <w:tcMar>
              <w:top w:type="dxa" w:w="80"/>
              <w:left w:type="dxa" w:w="100"/>
              <w:bottom w:type="dxa" w:w="80"/>
              <w:right w:type="dxa" w:w="100"/>
            </w:tcMar>
            <w:vAlign w:val="center"/>
          </w:tcPr>
          <w:p>
            <w:r>
              <w:rPr>
                <w:b w:val="false"/>
                <w:bCs w:val="false"/>
                <w:color w:val="1A1A1A"/>
                <w:sz w:val="19"/>
                <w:szCs w:val="19"/>
              </w:rPr>
              <w:t xml:space="preserve">Peut-on créer un compte directement dans /admin/ Django plutôt que dans l'interface eVDP ?</w:t>
            </w:r>
          </w:p>
        </w:tc>
        <w:tc>
          <w:tcPr>
            <w:tcW w:type="pct" w:w="65%"/>
            <w:tcMar>
              <w:top w:type="dxa" w:w="80"/>
              <w:left w:type="dxa" w:w="100"/>
              <w:bottom w:type="dxa" w:w="80"/>
              <w:right w:type="dxa" w:w="100"/>
            </w:tcMar>
            <w:vAlign w:val="center"/>
          </w:tcPr>
          <w:p>
            <w:r>
              <w:rPr>
                <w:b w:val="false"/>
                <w:bCs w:val="false"/>
                <w:color w:val="1A1A1A"/>
                <w:sz w:val="19"/>
                <w:szCs w:val="19"/>
              </w:rPr>
              <w:t xml:space="preserve">Techniquement oui pour un compte is_staff=True, mais ce n'est pas le circuit prévu pour l'usage courant : l'interface « Utilisateurs » de l'application couvre tous les cas normaux (création, changement de rôle, renvoi de lien) sans exposer l'admin technique Django à des profils non développeurs.</w:t>
            </w:r>
          </w:p>
        </w:tc>
      </w:tr>
    </w:tbl>
    <w:p>
      <w:pPr>
        <w:spacing w:before="500"/>
        <w:jc w:val="center"/>
      </w:pPr>
      <w:r>
        <w:rPr>
          <w:i/>
          <w:iCs/>
          <w:color w:val="5B5B5B"/>
          <w:sz w:val="17"/>
          <w:szCs w:val="17"/>
        </w:rPr>
        <w:t xml:space="preserve">Document généré pour le projet eVDP -- CYBER-DEF 2 / FASO SHIELD -- ELITE IT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2026-09-13T10:09:27.362Z</dcterms:created>
  <dcterms:modified xsi:type="dcterms:W3CDTF">2026-09-13T10:09:27.389Z</dcterms:modified>
</cp:coreProperties>
</file>

<file path=docProps/custom.xml><?xml version="1.0" encoding="utf-8"?>
<Properties xmlns="http://schemas.openxmlformats.org/officeDocument/2006/custom-properties" xmlns:vt="http://schemas.openxmlformats.org/officeDocument/2006/docPropsVTypes"/>
</file>