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jc w:val="center"/>
      </w:pPr>
      <w:r>
        <w:rPr>
          <w:rFonts w:ascii="Arial" w:cs="Arial" w:eastAsia="Arial" w:hAnsi="Arial"/>
          <w:b/>
          <w:bCs/>
          <w:color w:val="1B6B3A"/>
          <w:sz w:val="56"/>
          <w:szCs w:val="56"/>
        </w:rPr>
        <w:t xml:space="preserve">ImmoBF Africa</w:t>
      </w:r>
    </w:p>
    <w:p>
      <w:pPr>
        <w:spacing w:before="160"/>
        <w:jc w:val="center"/>
      </w:pPr>
      <w:r>
        <w:rPr>
          <w:rFonts w:ascii="Arial" w:cs="Arial" w:eastAsia="Arial" w:hAnsi="Arial"/>
          <w:i/>
          <w:iCs/>
          <w:color w:val="555555"/>
          <w:sz w:val="28"/>
          <w:szCs w:val="28"/>
        </w:rPr>
        <w:t xml:space="preserve">L'immobilier africain, payé en mobile money</w:t>
      </w:r>
    </w:p>
    <w:p>
      <w:pPr>
        <w:spacing w:before="600"/>
      </w:pPr>
      <w:r>
        <w:t xml:space="preserve"/>
      </w:r>
    </w:p>
    <w:p>
      <w:pPr>
        <w:jc w:val="center"/>
      </w:pPr>
      <w:r>
        <w:rPr>
          <w:rFonts w:ascii="Arial" w:cs="Arial" w:eastAsia="Arial" w:hAnsi="Arial"/>
          <w:b/>
          <w:bCs/>
          <w:color w:val="222222"/>
          <w:sz w:val="40"/>
          <w:szCs w:val="40"/>
        </w:rPr>
        <w:t xml:space="preserve">DOCUMENTATION JURIDIQUE</w:t>
      </w:r>
    </w:p>
    <w:p>
      <w:pPr>
        <w:spacing w:before="200"/>
        <w:jc w:val="center"/>
      </w:pPr>
      <w:r>
        <w:rPr>
          <w:rFonts w:ascii="Arial" w:cs="Arial" w:eastAsia="Arial" w:hAnsi="Arial"/>
          <w:color w:val="555555"/>
          <w:sz w:val="22"/>
          <w:szCs w:val="22"/>
        </w:rPr>
        <w:t xml:space="preserve">Conditions Générales d'Utilisation  •  Politique de Confidentialité  •  Clause de Non-Responsabilité</w:t>
      </w:r>
    </w:p>
    <w:p>
      <w:pPr>
        <w:spacing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8E1" w:val="clear"/>
            <w:tcMar>
              <w:top w:type="dxa" w:w="160"/>
              <w:left w:type="dxa" w:w="200"/>
              <w:bottom w:type="dxa" w:w="160"/>
              <w:right w:type="dxa" w:w="200"/>
            </w:tcMar>
          </w:tcPr>
          <w:p>
            <w:pPr>
              <w:spacing w:after="60" w:before="60"/>
            </w:pPr>
            <w:r>
              <w:rPr>
                <w:rFonts w:ascii="Arial" w:cs="Arial" w:eastAsia="Arial" w:hAnsi="Arial"/>
                <w:color w:val="5D4037"/>
                <w:sz w:val="21"/>
                <w:szCs w:val="21"/>
              </w:rPr>
              <w:t xml:space="preserve">Version : 1.0</w:t>
            </w:r>
          </w:p>
          <w:p>
            <w:pPr>
              <w:spacing w:after="60" w:before="60"/>
            </w:pPr>
            <w:r>
              <w:rPr>
                <w:rFonts w:ascii="Arial" w:cs="Arial" w:eastAsia="Arial" w:hAnsi="Arial"/>
                <w:color w:val="5D4037"/>
                <w:sz w:val="21"/>
                <w:szCs w:val="21"/>
              </w:rPr>
              <w:t xml:space="preserve">Date d'entrée en vigueur : 12 mai 2026</w:t>
            </w:r>
          </w:p>
          <w:p>
            <w:pPr>
              <w:spacing w:after="60" w:before="60"/>
            </w:pPr>
            <w:r>
              <w:rPr>
                <w:rFonts w:ascii="Arial" w:cs="Arial" w:eastAsia="Arial" w:hAnsi="Arial"/>
                <w:color w:val="5D4037"/>
                <w:sz w:val="21"/>
                <w:szCs w:val="21"/>
              </w:rPr>
              <w:t xml:space="preserve">Droit applicable : Droit burkinabé — Espace OHADA — Réglementation BCEAO/UEMOA</w:t>
            </w:r>
          </w:p>
          <w:p>
            <w:pPr>
              <w:spacing w:after="60" w:before="60"/>
            </w:pPr>
            <w:r>
              <w:rPr>
                <w:rFonts w:ascii="Arial" w:cs="Arial" w:eastAsia="Arial" w:hAnsi="Arial"/>
                <w:color w:val="5D4037"/>
                <w:sz w:val="21"/>
                <w:szCs w:val="21"/>
              </w:rPr>
              <w:t xml:space="preserve">Contact : legal@immobf.africa</w:t>
            </w:r>
          </w:p>
          <w:p>
            <w:pPr>
              <w:spacing w:after="60" w:before="60"/>
            </w:pPr>
            <w:r>
              <w:rPr>
                <w:rFonts w:ascii="Arial" w:cs="Arial" w:eastAsia="Arial" w:hAnsi="Arial"/>
                <w:color w:val="5D4037"/>
                <w:sz w:val="21"/>
                <w:szCs w:val="21"/>
              </w:rPr>
              <w:t xml:space="preserve">Site : https://immobf-frontend.vercel.app</w:t>
            </w:r>
          </w:p>
        </w:tc>
      </w:tr>
    </w:tbl>
    <w:p>
      <w:pPr>
        <w:pageBreakBefore/>
      </w:pPr>
      <w:r>
        <w:t xml:space="preserve"/>
      </w:r>
    </w:p>
    <w:p>
      <w:pPr>
        <w:pStyle w:val="Heading1"/>
        <w:spacing w:after="200" w:before="400"/>
      </w:pPr>
      <w:r>
        <w:rPr>
          <w:rFonts w:ascii="Arial" w:cs="Arial" w:eastAsia="Arial" w:hAnsi="Arial"/>
          <w:b/>
          <w:bCs/>
          <w:color w:val="1B6B3A"/>
          <w:sz w:val="32"/>
          <w:szCs w:val="32"/>
        </w:rPr>
        <w:t xml:space="preserve">PARTIE I — CONDITIONS GÉNÉRALES D'UTILISATION (CGU)</w:t>
      </w:r>
    </w:p>
    <w:p>
      <w:pPr>
        <w:pStyle w:val="Heading2"/>
        <w:spacing w:after="120" w:before="300"/>
      </w:pPr>
      <w:r>
        <w:rPr>
          <w:rFonts w:ascii="Arial" w:cs="Arial" w:eastAsia="Arial" w:hAnsi="Arial"/>
          <w:b/>
          <w:bCs/>
          <w:color w:val="333333"/>
          <w:sz w:val="26"/>
          <w:szCs w:val="26"/>
        </w:rPr>
        <w:t xml:space="preserve">Article 1 — Objet et champ d'application</w:t>
      </w:r>
    </w:p>
    <w:p>
      <w:pPr>
        <w:spacing w:after="120" w:before="80"/>
        <w:jc w:val="both"/>
      </w:pPr>
      <w:r>
        <w:rPr>
          <w:rFonts w:ascii="Arial" w:cs="Arial" w:eastAsia="Arial" w:hAnsi="Arial"/>
          <w:color w:val="555555"/>
          <w:sz w:val="22"/>
          <w:szCs w:val="22"/>
        </w:rPr>
        <w:t xml:space="preserve">Les présentes Conditions Générales d'Utilisation (ci-après « CGU ») régissent l'accès et l'utilisation de la plateforme numérique ImmoBF Africa (ci-après « la Plateforme »), accessible à l'adresse https://immobf-frontend.vercel.app, ainsi que de toute application mobile associée.</w:t>
      </w:r>
    </w:p>
    <w:p>
      <w:pPr>
        <w:spacing w:after="120" w:before="80"/>
        <w:jc w:val="both"/>
      </w:pPr>
      <w:r>
        <w:rPr>
          <w:rFonts w:ascii="Arial" w:cs="Arial" w:eastAsia="Arial" w:hAnsi="Arial"/>
          <w:color w:val="555555"/>
          <w:sz w:val="22"/>
          <w:szCs w:val="22"/>
        </w:rPr>
        <w:t xml:space="preserve">La Plateforme est éditée par ImmoBF Africa (ci-après « l'Éditeur »). Elle constitue une place de marché mettant en relation des particuliers et professionnels désirant publier des annonces immobilières (ci-après « Annonceurs ») avec des personnes intéressées par ces biens (ci-après « Visiteurs »). L'Éditeur n'agit en aucun cas en qualité d'agent immobilier, de mandataire, de vendeur ou d'intermédiaire financier réglementé.</w:t>
      </w:r>
    </w:p>
    <w:p>
      <w:pPr>
        <w:spacing w:after="120" w:before="80"/>
        <w:jc w:val="both"/>
      </w:pPr>
      <w:r>
        <w:rPr>
          <w:rFonts w:ascii="Arial" w:cs="Arial" w:eastAsia="Arial" w:hAnsi="Arial"/>
          <w:color w:val="555555"/>
          <w:sz w:val="22"/>
          <w:szCs w:val="22"/>
        </w:rPr>
        <w:t xml:space="preserve">Toute utilisation de la Plateforme, à quelque titre que ce soit, vaut acceptation pleine et entière des présentes CGU.</w:t>
      </w:r>
    </w:p>
    <w:p>
      <w:pPr>
        <w:pStyle w:val="Heading2"/>
        <w:spacing w:after="120" w:before="300"/>
      </w:pPr>
      <w:r>
        <w:rPr>
          <w:rFonts w:ascii="Arial" w:cs="Arial" w:eastAsia="Arial" w:hAnsi="Arial"/>
          <w:b/>
          <w:bCs/>
          <w:color w:val="333333"/>
          <w:sz w:val="26"/>
          <w:szCs w:val="26"/>
        </w:rPr>
        <w:t xml:space="preserve">Article 2 — Définitions</w:t>
      </w:r>
    </w:p>
    <w:p>
      <w:pPr>
        <w:pStyle w:val="ListParagraph"/>
        <w:numPr>
          <w:ilvl w:val="0"/>
          <w:numId w:val="2"/>
        </w:numPr>
        <w:spacing w:after="60" w:before="60"/>
      </w:pPr>
      <w:r>
        <w:rPr>
          <w:rFonts w:ascii="Arial" w:cs="Arial" w:eastAsia="Arial" w:hAnsi="Arial"/>
          <w:color w:val="555555"/>
          <w:sz w:val="22"/>
          <w:szCs w:val="22"/>
        </w:rPr>
        <w:t xml:space="preserve">« Utilisateur » : toute personne physique ou morale accédant à la Plateforme, qu'elle soit inscrite ou non.</w:t>
      </w:r>
    </w:p>
    <w:p>
      <w:pPr>
        <w:pStyle w:val="ListParagraph"/>
        <w:numPr>
          <w:ilvl w:val="0"/>
          <w:numId w:val="2"/>
        </w:numPr>
        <w:spacing w:after="60" w:before="60"/>
      </w:pPr>
      <w:r>
        <w:rPr>
          <w:rFonts w:ascii="Arial" w:cs="Arial" w:eastAsia="Arial" w:hAnsi="Arial"/>
          <w:color w:val="555555"/>
          <w:sz w:val="22"/>
          <w:szCs w:val="22"/>
        </w:rPr>
        <w:t xml:space="preserve">« Annonceur » : Utilisateur publiant une annonce immobilière sur la Plateforme.</w:t>
      </w:r>
    </w:p>
    <w:p>
      <w:pPr>
        <w:pStyle w:val="ListParagraph"/>
        <w:numPr>
          <w:ilvl w:val="0"/>
          <w:numId w:val="2"/>
        </w:numPr>
        <w:spacing w:after="60" w:before="60"/>
      </w:pPr>
      <w:r>
        <w:rPr>
          <w:rFonts w:ascii="Arial" w:cs="Arial" w:eastAsia="Arial" w:hAnsi="Arial"/>
          <w:color w:val="555555"/>
          <w:sz w:val="22"/>
          <w:szCs w:val="22"/>
        </w:rPr>
        <w:t xml:space="preserve">« Visiteur » : Utilisateur consultant les annonces sans nécessairement être inscrit.</w:t>
      </w:r>
    </w:p>
    <w:p>
      <w:pPr>
        <w:pStyle w:val="ListParagraph"/>
        <w:numPr>
          <w:ilvl w:val="0"/>
          <w:numId w:val="2"/>
        </w:numPr>
        <w:spacing w:after="60" w:before="60"/>
      </w:pPr>
      <w:r>
        <w:rPr>
          <w:rFonts w:ascii="Arial" w:cs="Arial" w:eastAsia="Arial" w:hAnsi="Arial"/>
          <w:color w:val="555555"/>
          <w:sz w:val="22"/>
          <w:szCs w:val="22"/>
        </w:rPr>
        <w:t xml:space="preserve">« Contenu » : toute information, donnée, texte, photographie ou autre élément publié sur la Plateforme par un Utilisateur.</w:t>
      </w:r>
    </w:p>
    <w:p>
      <w:pPr>
        <w:pStyle w:val="ListParagraph"/>
        <w:numPr>
          <w:ilvl w:val="0"/>
          <w:numId w:val="2"/>
        </w:numPr>
        <w:spacing w:after="60" w:before="60"/>
      </w:pPr>
      <w:r>
        <w:rPr>
          <w:rFonts w:ascii="Arial" w:cs="Arial" w:eastAsia="Arial" w:hAnsi="Arial"/>
          <w:color w:val="555555"/>
          <w:sz w:val="22"/>
          <w:szCs w:val="22"/>
        </w:rPr>
        <w:t xml:space="preserve">« Transaction » : tout paiement initié via la Plateforme, notamment les dépôts de garantie, arrhes ou paiements d'acomptes.</w:t>
      </w:r>
    </w:p>
    <w:p>
      <w:pPr>
        <w:pStyle w:val="Heading2"/>
        <w:spacing w:after="120" w:before="300"/>
      </w:pPr>
      <w:r>
        <w:rPr>
          <w:rFonts w:ascii="Arial" w:cs="Arial" w:eastAsia="Arial" w:hAnsi="Arial"/>
          <w:b/>
          <w:bCs/>
          <w:color w:val="333333"/>
          <w:sz w:val="26"/>
          <w:szCs w:val="26"/>
        </w:rPr>
        <w:t xml:space="preserve">Article 3 — Accès à la Plateforme</w:t>
      </w:r>
    </w:p>
    <w:p>
      <w:pPr>
        <w:spacing w:after="120" w:before="80"/>
        <w:jc w:val="both"/>
      </w:pPr>
      <w:r>
        <w:rPr>
          <w:rFonts w:ascii="Arial" w:cs="Arial" w:eastAsia="Arial" w:hAnsi="Arial"/>
          <w:color w:val="555555"/>
          <w:sz w:val="22"/>
          <w:szCs w:val="22"/>
        </w:rPr>
        <w:t xml:space="preserve">L'accès à la Plateforme est ouvert à toute personne physique majeure (18 ans ou plus) ou morale régulièrement constituée. L'Éditeur se réserve le droit de suspendre ou de résilier tout compte en cas de violation des présentes CGU, sans préavis ni indemnité.</w:t>
      </w:r>
    </w:p>
    <w:p>
      <w:pPr>
        <w:spacing w:after="120" w:before="80"/>
        <w:jc w:val="both"/>
      </w:pPr>
      <w:r>
        <w:rPr>
          <w:rFonts w:ascii="Arial" w:cs="Arial" w:eastAsia="Arial" w:hAnsi="Arial"/>
          <w:color w:val="555555"/>
          <w:sz w:val="22"/>
          <w:szCs w:val="22"/>
        </w:rPr>
        <w:t xml:space="preserve">L'Utilisateur est seul responsable de la confidentialité de ses identifiants de connexion. Toute utilisation du compte résultant d'une négligence dans la conservation des identifiants engage la seule responsabilité de l'Utilisateur. L'Éditeur ne pourra être tenu responsable de tout accès non autorisé consécutif à une telle négligence.</w:t>
      </w:r>
    </w:p>
    <w:p>
      <w:pPr>
        <w:pStyle w:val="Heading2"/>
        <w:spacing w:after="120" w:before="300"/>
      </w:pPr>
      <w:r>
        <w:rPr>
          <w:rFonts w:ascii="Arial" w:cs="Arial" w:eastAsia="Arial" w:hAnsi="Arial"/>
          <w:b/>
          <w:bCs/>
          <w:color w:val="333333"/>
          <w:sz w:val="26"/>
          <w:szCs w:val="26"/>
        </w:rPr>
        <w:t xml:space="preserve">Article 4 — Obligations des Annonceurs</w:t>
      </w:r>
    </w:p>
    <w:p>
      <w:pPr>
        <w:spacing w:after="120" w:before="80"/>
        <w:jc w:val="both"/>
      </w:pPr>
      <w:r>
        <w:rPr>
          <w:rFonts w:ascii="Arial" w:cs="Arial" w:eastAsia="Arial" w:hAnsi="Arial"/>
          <w:color w:val="555555"/>
          <w:sz w:val="22"/>
          <w:szCs w:val="22"/>
        </w:rPr>
        <w:t xml:space="preserve">L'Annonceur s'engage irrévocablement à :</w:t>
      </w:r>
    </w:p>
    <w:p>
      <w:pPr>
        <w:pStyle w:val="ListParagraph"/>
        <w:numPr>
          <w:ilvl w:val="0"/>
          <w:numId w:val="2"/>
        </w:numPr>
        <w:spacing w:after="60" w:before="60"/>
      </w:pPr>
      <w:r>
        <w:rPr>
          <w:rFonts w:ascii="Arial" w:cs="Arial" w:eastAsia="Arial" w:hAnsi="Arial"/>
          <w:color w:val="555555"/>
          <w:sz w:val="22"/>
          <w:szCs w:val="22"/>
        </w:rPr>
        <w:t xml:space="preserve">Publier des informations exactes, complètes et à jour concernant les biens proposés (localisation, superficie, prix, statut juridique).</w:t>
      </w:r>
    </w:p>
    <w:p>
      <w:pPr>
        <w:pStyle w:val="ListParagraph"/>
        <w:numPr>
          <w:ilvl w:val="0"/>
          <w:numId w:val="2"/>
        </w:numPr>
        <w:spacing w:after="60" w:before="60"/>
      </w:pPr>
      <w:r>
        <w:rPr>
          <w:rFonts w:ascii="Arial" w:cs="Arial" w:eastAsia="Arial" w:hAnsi="Arial"/>
          <w:color w:val="555555"/>
          <w:sz w:val="22"/>
          <w:szCs w:val="22"/>
        </w:rPr>
        <w:t xml:space="preserve">Être propriétaire du bien ou disposer d'un mandat régulier et vérifiable pour le proposer à la vente ou à la location.</w:t>
      </w:r>
    </w:p>
    <w:p>
      <w:pPr>
        <w:pStyle w:val="ListParagraph"/>
        <w:numPr>
          <w:ilvl w:val="0"/>
          <w:numId w:val="2"/>
        </w:numPr>
        <w:spacing w:after="60" w:before="60"/>
      </w:pPr>
      <w:r>
        <w:rPr>
          <w:rFonts w:ascii="Arial" w:cs="Arial" w:eastAsia="Arial" w:hAnsi="Arial"/>
          <w:color w:val="555555"/>
          <w:sz w:val="22"/>
          <w:szCs w:val="22"/>
        </w:rPr>
        <w:t xml:space="preserve">Ne pas publier d'annonces frauduleuses, trompeuses ou portant sur des biens fictifs.</w:t>
      </w:r>
    </w:p>
    <w:p>
      <w:pPr>
        <w:pStyle w:val="ListParagraph"/>
        <w:numPr>
          <w:ilvl w:val="0"/>
          <w:numId w:val="2"/>
        </w:numPr>
        <w:spacing w:after="60" w:before="60"/>
      </w:pPr>
      <w:r>
        <w:rPr>
          <w:rFonts w:ascii="Arial" w:cs="Arial" w:eastAsia="Arial" w:hAnsi="Arial"/>
          <w:color w:val="555555"/>
          <w:sz w:val="22"/>
          <w:szCs w:val="22"/>
        </w:rPr>
        <w:t xml:space="preserve">Ne pas utiliser la Plateforme à des fins de blanchiment de capitaux, de financement du terrorisme ou de toute activité illicite au sens des lois burkinabé, OHADA et de la réglementation BCEAO.</w:t>
      </w:r>
    </w:p>
    <w:p>
      <w:pPr>
        <w:pStyle w:val="ListParagraph"/>
        <w:numPr>
          <w:ilvl w:val="0"/>
          <w:numId w:val="2"/>
        </w:numPr>
        <w:spacing w:after="60" w:before="60"/>
      </w:pPr>
      <w:r>
        <w:rPr>
          <w:rFonts w:ascii="Arial" w:cs="Arial" w:eastAsia="Arial" w:hAnsi="Arial"/>
          <w:color w:val="555555"/>
          <w:sz w:val="22"/>
          <w:szCs w:val="22"/>
        </w:rPr>
        <w:t xml:space="preserve">Mettre à jour ou retirer immédiatement toute annonce dont les informations seraient devenues inexactes.</w:t>
      </w:r>
    </w:p>
    <w:p>
      <w:pPr>
        <w:spacing w:after="120" w:before="80"/>
        <w:jc w:val="both"/>
      </w:pPr>
      <w:r>
        <w:rPr>
          <w:rFonts w:ascii="Arial" w:cs="Arial" w:eastAsia="Arial" w:hAnsi="Arial"/>
          <w:color w:val="555555"/>
          <w:sz w:val="22"/>
          <w:szCs w:val="22"/>
        </w:rPr>
        <w:t xml:space="preserve">Le non-respect de ces obligations engage la responsabilité exclusive de l'Annonceur et pourra donner lieu à la suppression immédiate du compte et, le cas échéant, à des poursuites judiciaires.</w:t>
      </w:r>
    </w:p>
    <w:p>
      <w:pPr>
        <w:pStyle w:val="Heading2"/>
        <w:spacing w:after="120" w:before="300"/>
      </w:pPr>
      <w:r>
        <w:rPr>
          <w:rFonts w:ascii="Arial" w:cs="Arial" w:eastAsia="Arial" w:hAnsi="Arial"/>
          <w:b/>
          <w:bCs/>
          <w:color w:val="333333"/>
          <w:sz w:val="26"/>
          <w:szCs w:val="26"/>
        </w:rPr>
        <w:t xml:space="preserve">Article 5 — Obligations des Visiteurs</w:t>
      </w:r>
    </w:p>
    <w:p>
      <w:pPr>
        <w:spacing w:after="120" w:before="80"/>
        <w:jc w:val="both"/>
      </w:pPr>
      <w:r>
        <w:rPr>
          <w:rFonts w:ascii="Arial" w:cs="Arial" w:eastAsia="Arial" w:hAnsi="Arial"/>
          <w:color w:val="555555"/>
          <w:sz w:val="22"/>
          <w:szCs w:val="22"/>
        </w:rPr>
        <w:t xml:space="preserve">Le Visiteur s'engage à utiliser la Plateforme dans le strict respect de la légalité et des présentes CGU. Il lui appartient notamment de :</w:t>
      </w:r>
    </w:p>
    <w:p>
      <w:pPr>
        <w:pStyle w:val="ListParagraph"/>
        <w:numPr>
          <w:ilvl w:val="0"/>
          <w:numId w:val="2"/>
        </w:numPr>
        <w:spacing w:after="60" w:before="60"/>
      </w:pPr>
      <w:r>
        <w:rPr>
          <w:rFonts w:ascii="Arial" w:cs="Arial" w:eastAsia="Arial" w:hAnsi="Arial"/>
          <w:color w:val="555555"/>
          <w:sz w:val="22"/>
          <w:szCs w:val="22"/>
        </w:rPr>
        <w:t xml:space="preserve">Vérifier par lui-même la situation juridique et administrative du bien immobilier avant tout engagement (titre foncier, certificat de possession foncière, servitudes, dettes, hypothèques).</w:t>
      </w:r>
    </w:p>
    <w:p>
      <w:pPr>
        <w:pStyle w:val="ListParagraph"/>
        <w:numPr>
          <w:ilvl w:val="0"/>
          <w:numId w:val="2"/>
        </w:numPr>
        <w:spacing w:after="60" w:before="60"/>
      </w:pPr>
      <w:r>
        <w:rPr>
          <w:rFonts w:ascii="Arial" w:cs="Arial" w:eastAsia="Arial" w:hAnsi="Arial"/>
          <w:color w:val="555555"/>
          <w:sz w:val="22"/>
          <w:szCs w:val="22"/>
        </w:rPr>
        <w:t xml:space="preserve">Effectuer toutes les diligences préalables nécessaires, notamment en sollicitant l'assistance d'un notaire, d'un géomètre ou de tout expert compétent.</w:t>
      </w:r>
    </w:p>
    <w:p>
      <w:pPr>
        <w:pStyle w:val="ListParagraph"/>
        <w:numPr>
          <w:ilvl w:val="0"/>
          <w:numId w:val="2"/>
        </w:numPr>
        <w:spacing w:after="60" w:before="60"/>
      </w:pPr>
      <w:r>
        <w:rPr>
          <w:rFonts w:ascii="Arial" w:cs="Arial" w:eastAsia="Arial" w:hAnsi="Arial"/>
          <w:color w:val="555555"/>
          <w:sz w:val="22"/>
          <w:szCs w:val="22"/>
        </w:rPr>
        <w:t xml:space="preserve">Ne pas contacter les Annonceurs à des fins autres que l'acquisition ou la location du bien annoncé.</w:t>
      </w:r>
    </w:p>
    <w:p>
      <w:pPr>
        <w:pStyle w:val="Heading2"/>
        <w:spacing w:after="120" w:before="300"/>
      </w:pPr>
      <w:r>
        <w:rPr>
          <w:rFonts w:ascii="Arial" w:cs="Arial" w:eastAsia="Arial" w:hAnsi="Arial"/>
          <w:b/>
          <w:bCs/>
          <w:color w:val="333333"/>
          <w:sz w:val="26"/>
          <w:szCs w:val="26"/>
        </w:rPr>
        <w:t xml:space="preserve">Article 6 — Contenu publié par les Utilisateurs</w:t>
      </w:r>
    </w:p>
    <w:p>
      <w:pPr>
        <w:spacing w:after="120" w:before="80"/>
        <w:jc w:val="both"/>
      </w:pPr>
      <w:r>
        <w:rPr>
          <w:rFonts w:ascii="Arial" w:cs="Arial" w:eastAsia="Arial" w:hAnsi="Arial"/>
          <w:color w:val="555555"/>
          <w:sz w:val="22"/>
          <w:szCs w:val="22"/>
        </w:rPr>
        <w:t xml:space="preserve">L'Éditeur n'exerce aucun contrôle préalable systématique sur les contenus publiés par les Utilisateurs. En conséquence, la responsabilité de l'exactitude, de la légalité et de la licéité des informations contenues dans les annonces incombe exclusivement aux Annonceurs qui les ont publiées.</w:t>
      </w:r>
    </w:p>
    <w:p>
      <w:pPr>
        <w:spacing w:after="120" w:before="80"/>
        <w:jc w:val="both"/>
      </w:pPr>
      <w:r>
        <w:rPr>
          <w:rFonts w:ascii="Arial" w:cs="Arial" w:eastAsia="Arial" w:hAnsi="Arial"/>
          <w:color w:val="555555"/>
          <w:sz w:val="22"/>
          <w:szCs w:val="22"/>
        </w:rPr>
        <w:t xml:space="preserve">L'Éditeur dispose cependant d'un mécanisme de modération (assisté par intelligence artificielle et supervision humaine) et se réserve le droit de supprimer tout contenu manifestement illicite, trompeur ou contraire aux présentes CGU, sans obligation de justification envers l'Annonceur.</w:t>
      </w:r>
    </w:p>
    <w:p>
      <w:pPr>
        <w:pStyle w:val="Heading2"/>
        <w:spacing w:after="120" w:before="300"/>
      </w:pPr>
      <w:r>
        <w:rPr>
          <w:rFonts w:ascii="Arial" w:cs="Arial" w:eastAsia="Arial" w:hAnsi="Arial"/>
          <w:b/>
          <w:bCs/>
          <w:color w:val="333333"/>
          <w:sz w:val="26"/>
          <w:szCs w:val="26"/>
        </w:rPr>
        <w:t xml:space="preserve">Article 7 — Paiements et système de séquestre (escrow)</w:t>
      </w:r>
    </w:p>
    <w:p>
      <w:pPr>
        <w:spacing w:after="120" w:before="80"/>
        <w:jc w:val="both"/>
      </w:pPr>
      <w:r>
        <w:rPr>
          <w:rFonts w:ascii="Arial" w:cs="Arial" w:eastAsia="Arial" w:hAnsi="Arial"/>
          <w:color w:val="555555"/>
          <w:sz w:val="22"/>
          <w:szCs w:val="22"/>
        </w:rPr>
        <w:t xml:space="preserve">La Plateforme propose un mécanisme de séquestre (escrow) permettant à l'acquéreur de déposer une somme d'argent représentant un pourcentage du prix convenu avant la réalisation de la transaction définitive. Ce mécanisme est fourni à titre de facilité et ne constitue pas une garantie bancaire au sens de la réglementation BCEAO.</w:t>
      </w:r>
    </w:p>
    <w:p>
      <w:pPr>
        <w:spacing w:after="120" w:before="80"/>
        <w:jc w:val="both"/>
      </w:pPr>
      <w:r>
        <w:rPr>
          <w:rFonts w:ascii="Arial" w:cs="Arial" w:eastAsia="Arial" w:hAnsi="Arial"/>
          <w:color w:val="555555"/>
          <w:sz w:val="22"/>
          <w:szCs w:val="22"/>
        </w:rPr>
        <w:t xml:space="preserve">Les paiements sont traités par des prestataires tiers (notamment FedaPay, Orange Money, Moov Money, Wave) dont les conditions générales propres s'appliquent. L'Éditeur ne saurait être tenu responsable de tout incident, retard ou défaillance imputable à ces prestataires.</w:t>
      </w:r>
    </w:p>
    <w:p>
      <w:pPr>
        <w:spacing w:after="120" w:before="80"/>
        <w:jc w:val="both"/>
      </w:pPr>
      <w:r>
        <w:rPr>
          <w:rFonts w:ascii="Arial" w:cs="Arial" w:eastAsia="Arial" w:hAnsi="Arial"/>
          <w:color w:val="555555"/>
          <w:sz w:val="22"/>
          <w:szCs w:val="22"/>
        </w:rPr>
        <w:t xml:space="preserve">En cas de litige entre les parties à une transaction, l'Éditeur pourra intervenir en tant que tiers facilitateur, sans que cette intervention ne puisse être interprétée comme une reconnaissance de responsabilité ou une garantie de résolution.</w:t>
      </w:r>
    </w:p>
    <w:p>
      <w:pPr>
        <w:pStyle w:val="Heading2"/>
        <w:spacing w:after="120" w:before="300"/>
      </w:pPr>
      <w:r>
        <w:rPr>
          <w:rFonts w:ascii="Arial" w:cs="Arial" w:eastAsia="Arial" w:hAnsi="Arial"/>
          <w:b/>
          <w:bCs/>
          <w:color w:val="333333"/>
          <w:sz w:val="26"/>
          <w:szCs w:val="26"/>
        </w:rPr>
        <w:t xml:space="preserve">Article 8 — Propriété intellectuelle</w:t>
      </w:r>
    </w:p>
    <w:p>
      <w:pPr>
        <w:spacing w:after="120" w:before="80"/>
        <w:jc w:val="both"/>
      </w:pPr>
      <w:r>
        <w:rPr>
          <w:rFonts w:ascii="Arial" w:cs="Arial" w:eastAsia="Arial" w:hAnsi="Arial"/>
          <w:color w:val="555555"/>
          <w:sz w:val="22"/>
          <w:szCs w:val="22"/>
        </w:rPr>
        <w:t xml:space="preserve">L'ensemble des éléments constituant la Plateforme (logo, interface, code source, textes, design) est la propriété exclusive de l'Éditeur et est protégé par les dispositions du droit burkinabé sur la propriété intellectuelle et les conventions internationales applicables. Toute reproduction, représentation ou exploitation non autorisée constitue une contrefaçon.</w:t>
      </w:r>
    </w:p>
    <w:p>
      <w:pPr>
        <w:spacing w:after="120" w:before="80"/>
        <w:jc w:val="both"/>
      </w:pPr>
      <w:r>
        <w:rPr>
          <w:rFonts w:ascii="Arial" w:cs="Arial" w:eastAsia="Arial" w:hAnsi="Arial"/>
          <w:color w:val="555555"/>
          <w:sz w:val="22"/>
          <w:szCs w:val="22"/>
        </w:rPr>
        <w:t xml:space="preserve">En publiant du contenu sur la Plateforme, l'Annonceur concède à l'Éditeur une licence non exclusive, mondiale, gratuite et pour la durée de publication, d'utiliser, reproduire et afficher ledit contenu aux fins du service.</w:t>
      </w:r>
    </w:p>
    <w:p>
      <w:pPr>
        <w:pStyle w:val="Heading2"/>
        <w:spacing w:after="120" w:before="300"/>
      </w:pPr>
      <w:r>
        <w:rPr>
          <w:rFonts w:ascii="Arial" w:cs="Arial" w:eastAsia="Arial" w:hAnsi="Arial"/>
          <w:b/>
          <w:bCs/>
          <w:color w:val="333333"/>
          <w:sz w:val="26"/>
          <w:szCs w:val="26"/>
        </w:rPr>
        <w:t xml:space="preserve">Article 9 — Suspension et résiliation</w:t>
      </w:r>
    </w:p>
    <w:p>
      <w:pPr>
        <w:spacing w:after="120" w:before="80"/>
        <w:jc w:val="both"/>
      </w:pPr>
      <w:r>
        <w:rPr>
          <w:rFonts w:ascii="Arial" w:cs="Arial" w:eastAsia="Arial" w:hAnsi="Arial"/>
          <w:color w:val="555555"/>
          <w:sz w:val="22"/>
          <w:szCs w:val="22"/>
        </w:rPr>
        <w:t xml:space="preserve">L'Éditeur se réserve le droit de suspendre ou résilier, sans préavis ni indemnité, tout accès à la Plateforme en cas de : violation des présentes CGU ; comportement frauduleux ou abusif ; injonction d'une autorité judiciaire ou administrative compétente ; force majeure.</w:t>
      </w:r>
    </w:p>
    <w:p>
      <w:pPr>
        <w:spacing w:after="120" w:before="80"/>
        <w:jc w:val="both"/>
      </w:pPr>
      <w:r>
        <w:rPr>
          <w:rFonts w:ascii="Arial" w:cs="Arial" w:eastAsia="Arial" w:hAnsi="Arial"/>
          <w:color w:val="555555"/>
          <w:sz w:val="22"/>
          <w:szCs w:val="22"/>
        </w:rPr>
        <w:t xml:space="preserve">L'Utilisateur peut à tout moment demander la suppression de son compte en contactant l'Éditeur à l'adresse legal@immobf.africa.</w:t>
      </w:r>
    </w:p>
    <w:p>
      <w:pPr>
        <w:pStyle w:val="Heading2"/>
        <w:spacing w:after="120" w:before="300"/>
      </w:pPr>
      <w:r>
        <w:rPr>
          <w:rFonts w:ascii="Arial" w:cs="Arial" w:eastAsia="Arial" w:hAnsi="Arial"/>
          <w:b/>
          <w:bCs/>
          <w:color w:val="333333"/>
          <w:sz w:val="26"/>
          <w:szCs w:val="26"/>
        </w:rPr>
        <w:t xml:space="preserve">Article 10 — Droit applicable et juridiction compétente</w:t>
      </w:r>
    </w:p>
    <w:p>
      <w:pPr>
        <w:spacing w:after="120" w:before="80"/>
        <w:jc w:val="both"/>
      </w:pPr>
      <w:r>
        <w:rPr>
          <w:rFonts w:ascii="Arial" w:cs="Arial" w:eastAsia="Arial" w:hAnsi="Arial"/>
          <w:color w:val="555555"/>
          <w:sz w:val="22"/>
          <w:szCs w:val="22"/>
        </w:rPr>
        <w:t xml:space="preserve">Les présentes CGU sont soumises au droit burkinabé, complété par les textes uniformes de l'OHADA applicables. Tout litige relatif à leur interprétation ou exécution sera soumis aux juridictions compétentes de Ouagadougou, Burkina Faso, sauf convention contraire des parties ou disposition légale impérative contraire.</w:t>
      </w:r>
    </w:p>
    <w:p>
      <w:pPr>
        <w:pageBreakBefore/>
      </w:pPr>
      <w:r>
        <w:t xml:space="preserve"/>
      </w:r>
    </w:p>
    <w:p>
      <w:pPr>
        <w:pStyle w:val="Heading1"/>
        <w:spacing w:after="200" w:before="400"/>
      </w:pPr>
      <w:r>
        <w:rPr>
          <w:rFonts w:ascii="Arial" w:cs="Arial" w:eastAsia="Arial" w:hAnsi="Arial"/>
          <w:b/>
          <w:bCs/>
          <w:color w:val="1B6B3A"/>
          <w:sz w:val="32"/>
          <w:szCs w:val="32"/>
        </w:rPr>
        <w:t xml:space="preserve">PARTIE II — POLITIQUE DE CONFIDENTIALITÉ ET PROTECTION DES DONNÉES</w:t>
      </w:r>
    </w:p>
    <w:p>
      <w:pPr>
        <w:pStyle w:val="Heading2"/>
        <w:spacing w:after="120" w:before="300"/>
      </w:pPr>
      <w:r>
        <w:rPr>
          <w:rFonts w:ascii="Arial" w:cs="Arial" w:eastAsia="Arial" w:hAnsi="Arial"/>
          <w:b/>
          <w:bCs/>
          <w:color w:val="333333"/>
          <w:sz w:val="26"/>
          <w:szCs w:val="26"/>
        </w:rPr>
        <w:t xml:space="preserve">Article 11 — Responsable du traitement</w:t>
      </w:r>
    </w:p>
    <w:p>
      <w:pPr>
        <w:spacing w:after="120" w:before="80"/>
        <w:jc w:val="both"/>
      </w:pPr>
      <w:r>
        <w:rPr>
          <w:rFonts w:ascii="Arial" w:cs="Arial" w:eastAsia="Arial" w:hAnsi="Arial"/>
          <w:color w:val="555555"/>
          <w:sz w:val="22"/>
          <w:szCs w:val="22"/>
        </w:rPr>
        <w:t xml:space="preserve">Le responsable du traitement des données personnelles collectées via la Plateforme est ImmoBF Africa. Pour toute question relative à vos données personnelles, vous pouvez contacter : legal@immobf.africa.</w:t>
      </w:r>
    </w:p>
    <w:p>
      <w:pPr>
        <w:pStyle w:val="Heading2"/>
        <w:spacing w:after="120" w:before="300"/>
      </w:pPr>
      <w:r>
        <w:rPr>
          <w:rFonts w:ascii="Arial" w:cs="Arial" w:eastAsia="Arial" w:hAnsi="Arial"/>
          <w:b/>
          <w:bCs/>
          <w:color w:val="333333"/>
          <w:sz w:val="26"/>
          <w:szCs w:val="26"/>
        </w:rPr>
        <w:t xml:space="preserve">Article 12 — Données collectées</w:t>
      </w:r>
    </w:p>
    <w:p>
      <w:pPr>
        <w:spacing w:after="120" w:before="80"/>
        <w:jc w:val="both"/>
      </w:pPr>
      <w:r>
        <w:rPr>
          <w:rFonts w:ascii="Arial" w:cs="Arial" w:eastAsia="Arial" w:hAnsi="Arial"/>
          <w:color w:val="555555"/>
          <w:sz w:val="22"/>
          <w:szCs w:val="22"/>
        </w:rPr>
        <w:t xml:space="preserve">La Plateforme collecte les catégories de données suivantes :</w:t>
      </w:r>
    </w:p>
    <w:p>
      <w:pPr>
        <w:pStyle w:val="ListParagraph"/>
        <w:numPr>
          <w:ilvl w:val="0"/>
          <w:numId w:val="2"/>
        </w:numPr>
        <w:spacing w:after="60" w:before="60"/>
      </w:pPr>
      <w:r>
        <w:rPr>
          <w:rFonts w:ascii="Arial" w:cs="Arial" w:eastAsia="Arial" w:hAnsi="Arial"/>
          <w:color w:val="555555"/>
          <w:sz w:val="22"/>
          <w:szCs w:val="22"/>
        </w:rPr>
        <w:t xml:space="preserve">Données d'identification : nom, prénom, numéro de téléphone, adresse e-mail.</w:t>
      </w:r>
    </w:p>
    <w:p>
      <w:pPr>
        <w:pStyle w:val="ListParagraph"/>
        <w:numPr>
          <w:ilvl w:val="0"/>
          <w:numId w:val="2"/>
        </w:numPr>
        <w:spacing w:after="60" w:before="60"/>
      </w:pPr>
      <w:r>
        <w:rPr>
          <w:rFonts w:ascii="Arial" w:cs="Arial" w:eastAsia="Arial" w:hAnsi="Arial"/>
          <w:color w:val="555555"/>
          <w:sz w:val="22"/>
          <w:szCs w:val="22"/>
        </w:rPr>
        <w:t xml:space="preserve">Données de vérification d'identité (KYC) : copie de pièce d'identité, pour les Annonceurs professionnels.</w:t>
      </w:r>
    </w:p>
    <w:p>
      <w:pPr>
        <w:pStyle w:val="ListParagraph"/>
        <w:numPr>
          <w:ilvl w:val="0"/>
          <w:numId w:val="2"/>
        </w:numPr>
        <w:spacing w:after="60" w:before="60"/>
      </w:pPr>
      <w:r>
        <w:rPr>
          <w:rFonts w:ascii="Arial" w:cs="Arial" w:eastAsia="Arial" w:hAnsi="Arial"/>
          <w:color w:val="555555"/>
          <w:sz w:val="22"/>
          <w:szCs w:val="22"/>
        </w:rPr>
        <w:t xml:space="preserve">Données de transaction : montants, références de paiement, logs de transactions conservés conformément aux exigences de la BCEAO (10 ans).</w:t>
      </w:r>
    </w:p>
    <w:p>
      <w:pPr>
        <w:pStyle w:val="ListParagraph"/>
        <w:numPr>
          <w:ilvl w:val="0"/>
          <w:numId w:val="2"/>
        </w:numPr>
        <w:spacing w:after="60" w:before="60"/>
      </w:pPr>
      <w:r>
        <w:rPr>
          <w:rFonts w:ascii="Arial" w:cs="Arial" w:eastAsia="Arial" w:hAnsi="Arial"/>
          <w:color w:val="555555"/>
          <w:sz w:val="22"/>
          <w:szCs w:val="22"/>
        </w:rPr>
        <w:t xml:space="preserve">Données de navigation : adresses IP, cookies techniques, logs d'accès.</w:t>
      </w:r>
    </w:p>
    <w:p>
      <w:pPr>
        <w:pStyle w:val="ListParagraph"/>
        <w:numPr>
          <w:ilvl w:val="0"/>
          <w:numId w:val="2"/>
        </w:numPr>
        <w:spacing w:after="60" w:before="60"/>
      </w:pPr>
      <w:r>
        <w:rPr>
          <w:rFonts w:ascii="Arial" w:cs="Arial" w:eastAsia="Arial" w:hAnsi="Arial"/>
          <w:color w:val="555555"/>
          <w:sz w:val="22"/>
          <w:szCs w:val="22"/>
        </w:rPr>
        <w:t xml:space="preserve">Contenu publié : annonces, photos, descriptions de biens.</w:t>
      </w:r>
    </w:p>
    <w:p>
      <w:pPr>
        <w:pStyle w:val="Heading2"/>
        <w:spacing w:after="120" w:before="300"/>
      </w:pPr>
      <w:r>
        <w:rPr>
          <w:rFonts w:ascii="Arial" w:cs="Arial" w:eastAsia="Arial" w:hAnsi="Arial"/>
          <w:b/>
          <w:bCs/>
          <w:color w:val="333333"/>
          <w:sz w:val="26"/>
          <w:szCs w:val="26"/>
        </w:rPr>
        <w:t xml:space="preserve">Article 13 — Finalités du traitement</w:t>
      </w:r>
    </w:p>
    <w:p>
      <w:pPr>
        <w:spacing w:after="120" w:before="80"/>
        <w:jc w:val="both"/>
      </w:pPr>
      <w:r>
        <w:rPr>
          <w:rFonts w:ascii="Arial" w:cs="Arial" w:eastAsia="Arial" w:hAnsi="Arial"/>
          <w:color w:val="555555"/>
          <w:sz w:val="22"/>
          <w:szCs w:val="22"/>
        </w:rPr>
        <w:t xml:space="preserve">Les données sont traitées aux fins suivantes :</w:t>
      </w:r>
    </w:p>
    <w:p>
      <w:pPr>
        <w:pStyle w:val="ListParagraph"/>
        <w:numPr>
          <w:ilvl w:val="0"/>
          <w:numId w:val="2"/>
        </w:numPr>
        <w:spacing w:after="60" w:before="60"/>
      </w:pPr>
      <w:r>
        <w:rPr>
          <w:rFonts w:ascii="Arial" w:cs="Arial" w:eastAsia="Arial" w:hAnsi="Arial"/>
          <w:color w:val="555555"/>
          <w:sz w:val="22"/>
          <w:szCs w:val="22"/>
        </w:rPr>
        <w:t xml:space="preserve">Fourniture du service de mise en relation immobilière.</w:t>
      </w:r>
    </w:p>
    <w:p>
      <w:pPr>
        <w:pStyle w:val="ListParagraph"/>
        <w:numPr>
          <w:ilvl w:val="0"/>
          <w:numId w:val="2"/>
        </w:numPr>
        <w:spacing w:after="60" w:before="60"/>
      </w:pPr>
      <w:r>
        <w:rPr>
          <w:rFonts w:ascii="Arial" w:cs="Arial" w:eastAsia="Arial" w:hAnsi="Arial"/>
          <w:color w:val="555555"/>
          <w:sz w:val="22"/>
          <w:szCs w:val="22"/>
        </w:rPr>
        <w:t xml:space="preserve">Traitement et suivi des transactions financières.</w:t>
      </w:r>
    </w:p>
    <w:p>
      <w:pPr>
        <w:pStyle w:val="ListParagraph"/>
        <w:numPr>
          <w:ilvl w:val="0"/>
          <w:numId w:val="2"/>
        </w:numPr>
        <w:spacing w:after="60" w:before="60"/>
      </w:pPr>
      <w:r>
        <w:rPr>
          <w:rFonts w:ascii="Arial" w:cs="Arial" w:eastAsia="Arial" w:hAnsi="Arial"/>
          <w:color w:val="555555"/>
          <w:sz w:val="22"/>
          <w:szCs w:val="22"/>
        </w:rPr>
        <w:t xml:space="preserve">Prévention des fraudes et conformité réglementaire (LCB-FT, réglementation BCEAO/UEMOA).</w:t>
      </w:r>
    </w:p>
    <w:p>
      <w:pPr>
        <w:pStyle w:val="ListParagraph"/>
        <w:numPr>
          <w:ilvl w:val="0"/>
          <w:numId w:val="2"/>
        </w:numPr>
        <w:spacing w:after="60" w:before="60"/>
      </w:pPr>
      <w:r>
        <w:rPr>
          <w:rFonts w:ascii="Arial" w:cs="Arial" w:eastAsia="Arial" w:hAnsi="Arial"/>
          <w:color w:val="555555"/>
          <w:sz w:val="22"/>
          <w:szCs w:val="22"/>
        </w:rPr>
        <w:t xml:space="preserve">Amélioration de la Plateforme et personnalisation de l'expérience Utilisateur.</w:t>
      </w:r>
    </w:p>
    <w:p>
      <w:pPr>
        <w:pStyle w:val="ListParagraph"/>
        <w:numPr>
          <w:ilvl w:val="0"/>
          <w:numId w:val="2"/>
        </w:numPr>
        <w:spacing w:after="60" w:before="60"/>
      </w:pPr>
      <w:r>
        <w:rPr>
          <w:rFonts w:ascii="Arial" w:cs="Arial" w:eastAsia="Arial" w:hAnsi="Arial"/>
          <w:color w:val="555555"/>
          <w:sz w:val="22"/>
          <w:szCs w:val="22"/>
        </w:rPr>
        <w:t xml:space="preserve">Communication d'informations relatives au service (notifications, alertes).</w:t>
      </w:r>
    </w:p>
    <w:p>
      <w:pPr>
        <w:pStyle w:val="Heading2"/>
        <w:spacing w:after="120" w:before="300"/>
      </w:pPr>
      <w:r>
        <w:rPr>
          <w:rFonts w:ascii="Arial" w:cs="Arial" w:eastAsia="Arial" w:hAnsi="Arial"/>
          <w:b/>
          <w:bCs/>
          <w:color w:val="333333"/>
          <w:sz w:val="26"/>
          <w:szCs w:val="26"/>
        </w:rPr>
        <w:t xml:space="preserve">Article 14 — Durée de conservation</w:t>
      </w:r>
    </w:p>
    <w:p>
      <w:pPr>
        <w:spacing w:after="120" w:before="80"/>
        <w:jc w:val="both"/>
      </w:pPr>
      <w:r>
        <w:rPr>
          <w:rFonts w:ascii="Arial" w:cs="Arial" w:eastAsia="Arial" w:hAnsi="Arial"/>
          <w:color w:val="555555"/>
          <w:sz w:val="22"/>
          <w:szCs w:val="22"/>
        </w:rPr>
        <w:t xml:space="preserve">Les données personnelles sont conservées pendant la durée d'utilisation active du compte, augmentée d'une période de 5 ans après la dernière connexion, sauf obligation légale contraire. Les données de transaction sont conservées pendant 10 ans conformément aux obligations BCEAO relatives à la traçabilité des opérations financières.</w:t>
      </w:r>
    </w:p>
    <w:p>
      <w:pPr>
        <w:pStyle w:val="Heading2"/>
        <w:spacing w:after="120" w:before="300"/>
      </w:pPr>
      <w:r>
        <w:rPr>
          <w:rFonts w:ascii="Arial" w:cs="Arial" w:eastAsia="Arial" w:hAnsi="Arial"/>
          <w:b/>
          <w:bCs/>
          <w:color w:val="333333"/>
          <w:sz w:val="26"/>
          <w:szCs w:val="26"/>
        </w:rPr>
        <w:t xml:space="preserve">Article 15 — Droits des personnes concernées</w:t>
      </w:r>
    </w:p>
    <w:p>
      <w:pPr>
        <w:spacing w:after="120" w:before="80"/>
        <w:jc w:val="both"/>
      </w:pPr>
      <w:r>
        <w:rPr>
          <w:rFonts w:ascii="Arial" w:cs="Arial" w:eastAsia="Arial" w:hAnsi="Arial"/>
          <w:color w:val="555555"/>
          <w:sz w:val="22"/>
          <w:szCs w:val="22"/>
        </w:rPr>
        <w:t xml:space="preserve">Conformément aux principes reconnus en matière de protection des données personnelles, tout Utilisateur dispose des droits suivants, qu'il peut exercer en contactant l'Éditeur à legal@immobf.africa :</w:t>
      </w:r>
    </w:p>
    <w:p>
      <w:pPr>
        <w:pStyle w:val="ListParagraph"/>
        <w:numPr>
          <w:ilvl w:val="0"/>
          <w:numId w:val="2"/>
        </w:numPr>
        <w:spacing w:after="60" w:before="60"/>
      </w:pPr>
      <w:r>
        <w:rPr>
          <w:rFonts w:ascii="Arial" w:cs="Arial" w:eastAsia="Arial" w:hAnsi="Arial"/>
          <w:color w:val="555555"/>
          <w:sz w:val="22"/>
          <w:szCs w:val="22"/>
        </w:rPr>
        <w:t xml:space="preserve">Droit d'accès à ses données personnelles.</w:t>
      </w:r>
    </w:p>
    <w:p>
      <w:pPr>
        <w:pStyle w:val="ListParagraph"/>
        <w:numPr>
          <w:ilvl w:val="0"/>
          <w:numId w:val="2"/>
        </w:numPr>
        <w:spacing w:after="60" w:before="60"/>
      </w:pPr>
      <w:r>
        <w:rPr>
          <w:rFonts w:ascii="Arial" w:cs="Arial" w:eastAsia="Arial" w:hAnsi="Arial"/>
          <w:color w:val="555555"/>
          <w:sz w:val="22"/>
          <w:szCs w:val="22"/>
        </w:rPr>
        <w:t xml:space="preserve">Droit de rectification des données inexactes.</w:t>
      </w:r>
    </w:p>
    <w:p>
      <w:pPr>
        <w:pStyle w:val="ListParagraph"/>
        <w:numPr>
          <w:ilvl w:val="0"/>
          <w:numId w:val="2"/>
        </w:numPr>
        <w:spacing w:after="60" w:before="60"/>
      </w:pPr>
      <w:r>
        <w:rPr>
          <w:rFonts w:ascii="Arial" w:cs="Arial" w:eastAsia="Arial" w:hAnsi="Arial"/>
          <w:color w:val="555555"/>
          <w:sz w:val="22"/>
          <w:szCs w:val="22"/>
        </w:rPr>
        <w:t xml:space="preserve">Droit à l'effacement (« droit à l'oubli »), sous réserve des obligations légales de conservation.</w:t>
      </w:r>
    </w:p>
    <w:p>
      <w:pPr>
        <w:pStyle w:val="ListParagraph"/>
        <w:numPr>
          <w:ilvl w:val="0"/>
          <w:numId w:val="2"/>
        </w:numPr>
        <w:spacing w:after="60" w:before="60"/>
      </w:pPr>
      <w:r>
        <w:rPr>
          <w:rFonts w:ascii="Arial" w:cs="Arial" w:eastAsia="Arial" w:hAnsi="Arial"/>
          <w:color w:val="555555"/>
          <w:sz w:val="22"/>
          <w:szCs w:val="22"/>
        </w:rPr>
        <w:t xml:space="preserve">Droit d'opposition au traitement à des fins de prospection commerciale.</w:t>
      </w:r>
    </w:p>
    <w:p>
      <w:pPr>
        <w:pStyle w:val="ListParagraph"/>
        <w:numPr>
          <w:ilvl w:val="0"/>
          <w:numId w:val="2"/>
        </w:numPr>
        <w:spacing w:after="60" w:before="60"/>
      </w:pPr>
      <w:r>
        <w:rPr>
          <w:rFonts w:ascii="Arial" w:cs="Arial" w:eastAsia="Arial" w:hAnsi="Arial"/>
          <w:color w:val="555555"/>
          <w:sz w:val="22"/>
          <w:szCs w:val="22"/>
        </w:rPr>
        <w:t xml:space="preserve">Droit à la portabilité des données.</w:t>
      </w:r>
    </w:p>
    <w:p>
      <w:pPr>
        <w:pStyle w:val="Heading2"/>
        <w:spacing w:after="120" w:before="300"/>
      </w:pPr>
      <w:r>
        <w:rPr>
          <w:rFonts w:ascii="Arial" w:cs="Arial" w:eastAsia="Arial" w:hAnsi="Arial"/>
          <w:b/>
          <w:bCs/>
          <w:color w:val="333333"/>
          <w:sz w:val="26"/>
          <w:szCs w:val="26"/>
        </w:rPr>
        <w:t xml:space="preserve">Article 16 — Cookies</w:t>
      </w:r>
    </w:p>
    <w:p>
      <w:pPr>
        <w:spacing w:after="120" w:before="80"/>
        <w:jc w:val="both"/>
      </w:pPr>
      <w:r>
        <w:rPr>
          <w:rFonts w:ascii="Arial" w:cs="Arial" w:eastAsia="Arial" w:hAnsi="Arial"/>
          <w:color w:val="555555"/>
          <w:sz w:val="22"/>
          <w:szCs w:val="22"/>
        </w:rPr>
        <w:t xml:space="preserve">La Plateforme utilise des cookies techniques strictement nécessaires à son fonctionnement. Aucun cookie publicitaire ou de traçage tiers n'est déposé sans le consentement préalable de l'Utilisateur. L'Utilisateur peut configurer son navigateur pour refuser les cookies, ce qui pourrait altérer certaines fonctionnalités.</w:t>
      </w:r>
    </w:p>
    <w:p>
      <w:pPr>
        <w:pStyle w:val="Heading2"/>
        <w:spacing w:after="120" w:before="300"/>
      </w:pPr>
      <w:r>
        <w:rPr>
          <w:rFonts w:ascii="Arial" w:cs="Arial" w:eastAsia="Arial" w:hAnsi="Arial"/>
          <w:b/>
          <w:bCs/>
          <w:color w:val="333333"/>
          <w:sz w:val="26"/>
          <w:szCs w:val="26"/>
        </w:rPr>
        <w:t xml:space="preserve">Article 17 — Sécurité des données</w:t>
      </w:r>
    </w:p>
    <w:p>
      <w:pPr>
        <w:spacing w:after="120" w:before="80"/>
        <w:jc w:val="both"/>
      </w:pPr>
      <w:r>
        <w:rPr>
          <w:rFonts w:ascii="Arial" w:cs="Arial" w:eastAsia="Arial" w:hAnsi="Arial"/>
          <w:color w:val="555555"/>
          <w:sz w:val="22"/>
          <w:szCs w:val="22"/>
        </w:rPr>
        <w:t xml:space="preserve">L'Éditeur met en œuvre des mesures techniques et organisationnelles appropriées pour protéger les données personnelles contre tout accès non autorisé, perte, altération ou divulgation : chiffrement des mots de passe (Argon2), connexions sécurisées (HTTPS/TLS), jetons d'authentification à durée limitée, journalisation des accès. Toutefois, aucun système n'étant infaillible, l'Éditeur ne peut garantir une sécurité absolue.</w:t>
      </w:r>
    </w:p>
    <w:p>
      <w:pPr>
        <w:pageBreakBefore/>
      </w:pPr>
      <w:r>
        <w:t xml:space="preserve"/>
      </w:r>
    </w:p>
    <w:p>
      <w:pPr>
        <w:pStyle w:val="Heading1"/>
        <w:spacing w:after="200" w:before="400"/>
      </w:pPr>
      <w:r>
        <w:rPr>
          <w:rFonts w:ascii="Arial" w:cs="Arial" w:eastAsia="Arial" w:hAnsi="Arial"/>
          <w:b/>
          <w:bCs/>
          <w:color w:val="1B6B3A"/>
          <w:sz w:val="32"/>
          <w:szCs w:val="32"/>
        </w:rPr>
        <w:t xml:space="preserve">PARTIE III — CLAUSE DE NON-RESPONSABILITÉ (DISCLAIMER)</w:t>
      </w:r>
    </w:p>
    <w:p>
      <w:pPr>
        <w:pStyle w:val="Heading2"/>
        <w:spacing w:after="120" w:before="300"/>
      </w:pPr>
      <w:r>
        <w:rPr>
          <w:rFonts w:ascii="Arial" w:cs="Arial" w:eastAsia="Arial" w:hAnsi="Arial"/>
          <w:b/>
          <w:bCs/>
          <w:color w:val="333333"/>
          <w:sz w:val="26"/>
          <w:szCs w:val="26"/>
        </w:rPr>
        <w:t xml:space="preserve">Article 18 — Nature de la Plateforme</w:t>
      </w:r>
    </w:p>
    <w:p>
      <w:pPr>
        <w:spacing w:after="120" w:before="80"/>
        <w:jc w:val="both"/>
      </w:pPr>
      <w:r>
        <w:rPr>
          <w:rFonts w:ascii="Arial" w:cs="Arial" w:eastAsia="Arial" w:hAnsi="Arial"/>
          <w:color w:val="555555"/>
          <w:sz w:val="22"/>
          <w:szCs w:val="22"/>
        </w:rPr>
        <w:t xml:space="preserve">ImmoBF Africa est une place de marché numérique. En aucun cas l'Éditeur ne se porte garant de la qualité, de la véracité, de la légalité ou de l'authenticité des annonces publiées par les Utilisateurs. Les transactions immobilières impliquent des engagements juridiques et financiers significatifs ; il appartient à chaque partie d'exercer la diligence appropriée avant tout engagement.</w:t>
      </w:r>
    </w:p>
    <w:p>
      <w:pPr>
        <w:pStyle w:val="Heading2"/>
        <w:spacing w:after="120" w:before="300"/>
      </w:pPr>
      <w:r>
        <w:rPr>
          <w:rFonts w:ascii="Arial" w:cs="Arial" w:eastAsia="Arial" w:hAnsi="Arial"/>
          <w:b/>
          <w:bCs/>
          <w:color w:val="333333"/>
          <w:sz w:val="26"/>
          <w:szCs w:val="26"/>
        </w:rPr>
        <w:t xml:space="preserve">Article 19 — Exclusion de responsabilité pour les annonces</w:t>
      </w:r>
    </w:p>
    <w:p>
      <w:pPr>
        <w:spacing w:after="120" w:before="80"/>
        <w:jc w:val="both"/>
      </w:pPr>
      <w:r>
        <w:rPr>
          <w:rFonts w:ascii="Arial" w:cs="Arial" w:eastAsia="Arial" w:hAnsi="Arial"/>
          <w:color w:val="555555"/>
          <w:sz w:val="22"/>
          <w:szCs w:val="22"/>
        </w:rPr>
        <w:t xml:space="preserve">L'Éditeur décline expressément toute responsabilité pour :</w:t>
      </w:r>
    </w:p>
    <w:p>
      <w:pPr>
        <w:pStyle w:val="ListParagraph"/>
        <w:numPr>
          <w:ilvl w:val="0"/>
          <w:numId w:val="2"/>
        </w:numPr>
        <w:spacing w:after="60" w:before="60"/>
      </w:pPr>
      <w:r>
        <w:rPr>
          <w:rFonts w:ascii="Arial" w:cs="Arial" w:eastAsia="Arial" w:hAnsi="Arial"/>
          <w:color w:val="555555"/>
          <w:sz w:val="22"/>
          <w:szCs w:val="22"/>
        </w:rPr>
        <w:t xml:space="preserve">Les informations inexactes, incomplètes, trompeuses ou frauduleuses publiées par des Annonceurs.</w:t>
      </w:r>
    </w:p>
    <w:p>
      <w:pPr>
        <w:pStyle w:val="ListParagraph"/>
        <w:numPr>
          <w:ilvl w:val="0"/>
          <w:numId w:val="2"/>
        </w:numPr>
        <w:spacing w:after="60" w:before="60"/>
      </w:pPr>
      <w:r>
        <w:rPr>
          <w:rFonts w:ascii="Arial" w:cs="Arial" w:eastAsia="Arial" w:hAnsi="Arial"/>
          <w:color w:val="555555"/>
          <w:sz w:val="22"/>
          <w:szCs w:val="22"/>
        </w:rPr>
        <w:t xml:space="preserve">L'état réel du bien (vices cachés, défauts de construction, occupation illégale, litiges fonciers).</w:t>
      </w:r>
    </w:p>
    <w:p>
      <w:pPr>
        <w:pStyle w:val="ListParagraph"/>
        <w:numPr>
          <w:ilvl w:val="0"/>
          <w:numId w:val="2"/>
        </w:numPr>
        <w:spacing w:after="60" w:before="60"/>
      </w:pPr>
      <w:r>
        <w:rPr>
          <w:rFonts w:ascii="Arial" w:cs="Arial" w:eastAsia="Arial" w:hAnsi="Arial"/>
          <w:color w:val="555555"/>
          <w:sz w:val="22"/>
          <w:szCs w:val="22"/>
        </w:rPr>
        <w:t xml:space="preserve">Le défaut de titre foncier valable ou tout litige relatif à la propriété du bien.</w:t>
      </w:r>
    </w:p>
    <w:p>
      <w:pPr>
        <w:pStyle w:val="ListParagraph"/>
        <w:numPr>
          <w:ilvl w:val="0"/>
          <w:numId w:val="2"/>
        </w:numPr>
        <w:spacing w:after="60" w:before="60"/>
      </w:pPr>
      <w:r>
        <w:rPr>
          <w:rFonts w:ascii="Arial" w:cs="Arial" w:eastAsia="Arial" w:hAnsi="Arial"/>
          <w:color w:val="555555"/>
          <w:sz w:val="22"/>
          <w:szCs w:val="22"/>
        </w:rPr>
        <w:t xml:space="preserve">Toute perte financière subie par un Visiteur ayant conclu une transaction sans avoir effectué les vérifications préalables nécessaires.</w:t>
      </w:r>
    </w:p>
    <w:p>
      <w:pPr>
        <w:pStyle w:val="Heading2"/>
        <w:spacing w:after="120" w:before="300"/>
      </w:pPr>
      <w:r>
        <w:rPr>
          <w:rFonts w:ascii="Arial" w:cs="Arial" w:eastAsia="Arial" w:hAnsi="Arial"/>
          <w:b/>
          <w:bCs/>
          <w:color w:val="333333"/>
          <w:sz w:val="26"/>
          <w:szCs w:val="26"/>
        </w:rPr>
        <w:t xml:space="preserve">Article 20 — Exclusion de responsabilité pour les transactions</w:t>
      </w:r>
    </w:p>
    <w:p>
      <w:pPr>
        <w:spacing w:after="120" w:before="80"/>
        <w:jc w:val="both"/>
      </w:pPr>
      <w:r>
        <w:rPr>
          <w:rFonts w:ascii="Arial" w:cs="Arial" w:eastAsia="Arial" w:hAnsi="Arial"/>
          <w:color w:val="555555"/>
          <w:sz w:val="22"/>
          <w:szCs w:val="22"/>
        </w:rPr>
        <w:t xml:space="preserve">L'Éditeur ne saurait être tenu responsable de :</w:t>
      </w:r>
    </w:p>
    <w:p>
      <w:pPr>
        <w:pStyle w:val="ListParagraph"/>
        <w:numPr>
          <w:ilvl w:val="0"/>
          <w:numId w:val="2"/>
        </w:numPr>
        <w:spacing w:after="60" w:before="60"/>
      </w:pPr>
      <w:r>
        <w:rPr>
          <w:rFonts w:ascii="Arial" w:cs="Arial" w:eastAsia="Arial" w:hAnsi="Arial"/>
          <w:color w:val="555555"/>
          <w:sz w:val="22"/>
          <w:szCs w:val="22"/>
        </w:rPr>
        <w:t xml:space="preserve">Tout échec, retard ou incident de paiement imputable aux prestataires de services de paiement tiers.</w:t>
      </w:r>
    </w:p>
    <w:p>
      <w:pPr>
        <w:pStyle w:val="ListParagraph"/>
        <w:numPr>
          <w:ilvl w:val="0"/>
          <w:numId w:val="2"/>
        </w:numPr>
        <w:spacing w:after="60" w:before="60"/>
      </w:pPr>
      <w:r>
        <w:rPr>
          <w:rFonts w:ascii="Arial" w:cs="Arial" w:eastAsia="Arial" w:hAnsi="Arial"/>
          <w:color w:val="555555"/>
          <w:sz w:val="22"/>
          <w:szCs w:val="22"/>
        </w:rPr>
        <w:t xml:space="preserve">Toute perte résultant d'un accès non autorisé au compte d'un Utilisateur consécutif à une négligence de celui-ci dans la conservation de ses identifiants.</w:t>
      </w:r>
    </w:p>
    <w:p>
      <w:pPr>
        <w:pStyle w:val="ListParagraph"/>
        <w:numPr>
          <w:ilvl w:val="0"/>
          <w:numId w:val="2"/>
        </w:numPr>
        <w:spacing w:after="60" w:before="60"/>
      </w:pPr>
      <w:r>
        <w:rPr>
          <w:rFonts w:ascii="Arial" w:cs="Arial" w:eastAsia="Arial" w:hAnsi="Arial"/>
          <w:color w:val="555555"/>
          <w:sz w:val="22"/>
          <w:szCs w:val="22"/>
        </w:rPr>
        <w:t xml:space="preserve">Tout préjudice résultant d'une interruption, d'une défaillance technique ou d'une cyberattaque affectant la Plateforme, dans la limite de ce que la loi autorise.</w:t>
      </w:r>
    </w:p>
    <w:p>
      <w:pPr>
        <w:pStyle w:val="ListParagraph"/>
        <w:numPr>
          <w:ilvl w:val="0"/>
          <w:numId w:val="2"/>
        </w:numPr>
        <w:spacing w:after="60" w:before="60"/>
      </w:pPr>
      <w:r>
        <w:rPr>
          <w:rFonts w:ascii="Arial" w:cs="Arial" w:eastAsia="Arial" w:hAnsi="Arial"/>
          <w:color w:val="555555"/>
          <w:sz w:val="22"/>
          <w:szCs w:val="22"/>
        </w:rPr>
        <w:t xml:space="preserve">Toute divergence entre le montant affiché sur la Plateforme et les frais réellement prélevés par les opérateurs de mobile money.</w:t>
      </w:r>
    </w:p>
    <w:p>
      <w:pPr>
        <w:pStyle w:val="Heading2"/>
        <w:spacing w:after="120" w:before="300"/>
      </w:pPr>
      <w:r>
        <w:rPr>
          <w:rFonts w:ascii="Arial" w:cs="Arial" w:eastAsia="Arial" w:hAnsi="Arial"/>
          <w:b/>
          <w:bCs/>
          <w:color w:val="333333"/>
          <w:sz w:val="26"/>
          <w:szCs w:val="26"/>
        </w:rPr>
        <w:t xml:space="preserve">Article 21 — Exclusion de responsabilité pour la conduite des Utilisateurs</w:t>
      </w:r>
    </w:p>
    <w:p>
      <w:pPr>
        <w:spacing w:after="120" w:before="80"/>
        <w:jc w:val="both"/>
      </w:pPr>
      <w:r>
        <w:rPr>
          <w:rFonts w:ascii="Arial" w:cs="Arial" w:eastAsia="Arial" w:hAnsi="Arial"/>
          <w:color w:val="555555"/>
          <w:sz w:val="22"/>
          <w:szCs w:val="22"/>
        </w:rPr>
        <w:t xml:space="preserve">L'Éditeur ne peut être tenu responsable des agissements, comportements ou manquements des Utilisateurs entre eux, notamment :</w:t>
      </w:r>
    </w:p>
    <w:p>
      <w:pPr>
        <w:pStyle w:val="ListParagraph"/>
        <w:numPr>
          <w:ilvl w:val="0"/>
          <w:numId w:val="2"/>
        </w:numPr>
        <w:spacing w:after="60" w:before="60"/>
      </w:pPr>
      <w:r>
        <w:rPr>
          <w:rFonts w:ascii="Arial" w:cs="Arial" w:eastAsia="Arial" w:hAnsi="Arial"/>
          <w:color w:val="555555"/>
          <w:sz w:val="22"/>
          <w:szCs w:val="22"/>
        </w:rPr>
        <w:t xml:space="preserve">Tout abus de confiance, escroquerie ou manœuvre frauduleuse commise par un Annonceur au détriment d'un Visiteur.</w:t>
      </w:r>
    </w:p>
    <w:p>
      <w:pPr>
        <w:pStyle w:val="ListParagraph"/>
        <w:numPr>
          <w:ilvl w:val="0"/>
          <w:numId w:val="2"/>
        </w:numPr>
        <w:spacing w:after="60" w:before="60"/>
      </w:pPr>
      <w:r>
        <w:rPr>
          <w:rFonts w:ascii="Arial" w:cs="Arial" w:eastAsia="Arial" w:hAnsi="Arial"/>
          <w:color w:val="555555"/>
          <w:sz w:val="22"/>
          <w:szCs w:val="22"/>
        </w:rPr>
        <w:t xml:space="preserve">Tout manquement d'un Visiteur à ses obligations envers un Annonceur (absence de paiement, dégradations, etc.).</w:t>
      </w:r>
    </w:p>
    <w:p>
      <w:pPr>
        <w:pStyle w:val="ListParagraph"/>
        <w:numPr>
          <w:ilvl w:val="0"/>
          <w:numId w:val="2"/>
        </w:numPr>
        <w:spacing w:after="60" w:before="60"/>
      </w:pPr>
      <w:r>
        <w:rPr>
          <w:rFonts w:ascii="Arial" w:cs="Arial" w:eastAsia="Arial" w:hAnsi="Arial"/>
          <w:color w:val="555555"/>
          <w:sz w:val="22"/>
          <w:szCs w:val="22"/>
        </w:rPr>
        <w:t xml:space="preserve">Tout litige résultant d'un accord conclu directement entre les parties en dehors de la Plateforme.</w:t>
      </w:r>
    </w:p>
    <w:p>
      <w:pPr>
        <w:pStyle w:val="Heading2"/>
        <w:spacing w:after="120" w:before="300"/>
      </w:pPr>
      <w:r>
        <w:rPr>
          <w:rFonts w:ascii="Arial" w:cs="Arial" w:eastAsia="Arial" w:hAnsi="Arial"/>
          <w:b/>
          <w:bCs/>
          <w:color w:val="333333"/>
          <w:sz w:val="26"/>
          <w:szCs w:val="26"/>
        </w:rPr>
        <w:t xml:space="preserve">Article 22 — Signalement et modération</w:t>
      </w:r>
    </w:p>
    <w:p>
      <w:pPr>
        <w:spacing w:after="120" w:before="80"/>
        <w:jc w:val="both"/>
      </w:pPr>
      <w:r>
        <w:rPr>
          <w:rFonts w:ascii="Arial" w:cs="Arial" w:eastAsia="Arial" w:hAnsi="Arial"/>
          <w:color w:val="555555"/>
          <w:sz w:val="22"/>
          <w:szCs w:val="22"/>
        </w:rPr>
        <w:t xml:space="preserve">Tout Utilisateur ayant connaissance d'un contenu manifestement illicite ou frauduleux est invité à le signaler immédiatement à l'Éditeur via le mécanisme de signalement intégré à la Plateforme ou à l'adresse legal@immobf.africa. L'Éditeur s'engage à traiter les signalements dans un délai raisonnable. Le défaut de signalement ou le signalement abusif engage la responsabilité de l'Utilisateur concerné.</w:t>
      </w:r>
    </w:p>
    <w:p>
      <w:pPr>
        <w:pStyle w:val="Heading2"/>
        <w:spacing w:after="120" w:before="300"/>
      </w:pPr>
      <w:r>
        <w:rPr>
          <w:rFonts w:ascii="Arial" w:cs="Arial" w:eastAsia="Arial" w:hAnsi="Arial"/>
          <w:b/>
          <w:bCs/>
          <w:color w:val="333333"/>
          <w:sz w:val="26"/>
          <w:szCs w:val="26"/>
        </w:rPr>
        <w:t xml:space="preserve">Article 23 — Limitation de responsabilité</w:t>
      </w:r>
    </w:p>
    <w:p>
      <w:pPr>
        <w:spacing w:after="120" w:before="80"/>
        <w:jc w:val="both"/>
      </w:pPr>
      <w:r>
        <w:rPr>
          <w:rFonts w:ascii="Arial" w:cs="Arial" w:eastAsia="Arial" w:hAnsi="Arial"/>
          <w:color w:val="555555"/>
          <w:sz w:val="22"/>
          <w:szCs w:val="22"/>
        </w:rPr>
        <w:t xml:space="preserve">Dans la mesure maximale permise par le droit burkinabé et les textes OHADA applicables, la responsabilité de l'Éditeur, toutes causes confondues, est limitée aux sommes effectivement perçues par l'Éditeur de l'Utilisateur concerné au cours des douze (12) mois précédant le fait générateur du dommage. Cette limitation ne s'applique pas aux dommages résultant d'une faute intentionnelle ou d'une fraude imputable à l'Éditeur.</w:t>
      </w:r>
    </w:p>
    <w:p>
      <w:pPr>
        <w:pStyle w:val="Heading2"/>
        <w:spacing w:after="120" w:before="300"/>
      </w:pPr>
      <w:r>
        <w:rPr>
          <w:rFonts w:ascii="Arial" w:cs="Arial" w:eastAsia="Arial" w:hAnsi="Arial"/>
          <w:b/>
          <w:bCs/>
          <w:color w:val="333333"/>
          <w:sz w:val="26"/>
          <w:szCs w:val="26"/>
        </w:rPr>
        <w:t xml:space="preserve">Article 24 — Force majeure</w:t>
      </w:r>
    </w:p>
    <w:p>
      <w:pPr>
        <w:spacing w:after="120" w:before="80"/>
        <w:jc w:val="both"/>
      </w:pPr>
      <w:r>
        <w:rPr>
          <w:rFonts w:ascii="Arial" w:cs="Arial" w:eastAsia="Arial" w:hAnsi="Arial"/>
          <w:color w:val="555555"/>
          <w:sz w:val="22"/>
          <w:szCs w:val="22"/>
        </w:rPr>
        <w:t xml:space="preserve">L'Éditeur est exonéré de toute responsabilité en cas d'inexécution ou de retard dans l'exécution de ses obligations résultant d'un événement de force majeure au sens de l'article 1218 du Code civil français applicable par analogie, notamment : catastrophes naturelles, conflits armés, coupures d'infrastructure télécommunications, pandémies, actes gouvernementaux restrictifs.</w:t>
      </w:r>
    </w:p>
    <w:p>
      <w:pPr>
        <w:pageBreakBefore/>
      </w:pPr>
      <w:r>
        <w:t xml:space="preserve"/>
      </w:r>
    </w:p>
    <w:p>
      <w:pPr>
        <w:pStyle w:val="Heading1"/>
        <w:spacing w:after="200" w:before="400"/>
      </w:pPr>
      <w:r>
        <w:rPr>
          <w:rFonts w:ascii="Arial" w:cs="Arial" w:eastAsia="Arial" w:hAnsi="Arial"/>
          <w:b/>
          <w:bCs/>
          <w:color w:val="1B6B3A"/>
          <w:sz w:val="32"/>
          <w:szCs w:val="32"/>
        </w:rPr>
        <w:t xml:space="preserve">PARTIE IV — PROPOSITION D'INSERTION DANS L'APPLICATION</w:t>
      </w:r>
    </w:p>
    <w:p>
      <w:pPr>
        <w:pStyle w:val="Heading2"/>
        <w:spacing w:after="120" w:before="300"/>
      </w:pPr>
      <w:r>
        <w:rPr>
          <w:rFonts w:ascii="Arial" w:cs="Arial" w:eastAsia="Arial" w:hAnsi="Arial"/>
          <w:b/>
          <w:bCs/>
          <w:color w:val="333333"/>
          <w:sz w:val="26"/>
          <w:szCs w:val="26"/>
        </w:rPr>
        <w:t xml:space="preserve">4.1 — Points d'insertion recommandés</w:t>
      </w:r>
    </w:p>
    <w:p>
      <w:pPr>
        <w:spacing w:after="120" w:before="80"/>
        <w:jc w:val="both"/>
      </w:pPr>
      <w:r>
        <w:rPr>
          <w:rFonts w:ascii="Arial" w:cs="Arial" w:eastAsia="Arial" w:hAnsi="Arial"/>
          <w:color w:val="555555"/>
          <w:sz w:val="22"/>
          <w:szCs w:val="22"/>
        </w:rPr>
        <w:t xml:space="preserve">Pour une protection juridique optimale et une conformité avec les standards d'acceptation des conditions générales, les textes juridiques doivent apparaître aux emplacements suivants :</w:t>
      </w:r>
    </w:p>
    <w:p>
      <w:pPr>
        <w:spacing w:after="80" w:before="120"/>
      </w:pPr>
      <w:r>
        <w:rPr>
          <w:rFonts w:ascii="Arial" w:cs="Arial" w:eastAsia="Arial" w:hAnsi="Arial"/>
          <w:b/>
          <w:bCs/>
          <w:color w:val="222222"/>
          <w:sz w:val="24"/>
          <w:szCs w:val="24"/>
        </w:rPr>
        <w:t xml:space="preserve">A. Page /legal dédiée (obligatoire)</w:t>
      </w:r>
    </w:p>
    <w:p>
      <w:pPr>
        <w:spacing w:after="120" w:before="80"/>
        <w:jc w:val="both"/>
      </w:pPr>
      <w:r>
        <w:rPr>
          <w:rFonts w:ascii="Arial" w:cs="Arial" w:eastAsia="Arial" w:hAnsi="Arial"/>
          <w:color w:val="555555"/>
          <w:sz w:val="22"/>
          <w:szCs w:val="22"/>
        </w:rPr>
        <w:t xml:space="preserve">Créer une page accessible à l'URL /legal (ou /mentions-legales) contenant les trois documents en onglets ou sections distinctes. Cette page doit être accessible depuis n'importe quelle page de l'application, sans nécessiter d'être connecté.</w:t>
      </w:r>
    </w:p>
    <w:p>
      <w:pPr>
        <w:spacing w:after="80" w:before="120"/>
      </w:pPr>
      <w:r>
        <w:rPr>
          <w:rFonts w:ascii="Arial" w:cs="Arial" w:eastAsia="Arial" w:hAnsi="Arial"/>
          <w:b/>
          <w:bCs/>
          <w:color w:val="222222"/>
          <w:sz w:val="24"/>
          <w:szCs w:val="24"/>
        </w:rPr>
        <w:t xml:space="preserve">B. Pied de page (footer) — toutes les pages</w:t>
      </w:r>
    </w:p>
    <w:p>
      <w:pPr>
        <w:spacing w:after="120" w:before="80"/>
        <w:jc w:val="both"/>
      </w:pPr>
      <w:r>
        <w:rPr>
          <w:rFonts w:ascii="Arial" w:cs="Arial" w:eastAsia="Arial" w:hAnsi="Arial"/>
          <w:color w:val="555555"/>
          <w:sz w:val="22"/>
          <w:szCs w:val="22"/>
        </w:rPr>
        <w:t xml:space="preserve">Ajouter dans le footer actuel trois liens permanents : « CGU », « Confidentialité » et « Mentions légales ». Ces liens doivent être visibles en permanence.</w:t>
      </w:r>
    </w:p>
    <w:p>
      <w:pPr>
        <w:spacing w:after="80" w:before="120"/>
      </w:pPr>
      <w:r>
        <w:rPr>
          <w:rFonts w:ascii="Arial" w:cs="Arial" w:eastAsia="Arial" w:hAnsi="Arial"/>
          <w:b/>
          <w:bCs/>
          <w:color w:val="222222"/>
          <w:sz w:val="24"/>
          <w:szCs w:val="24"/>
        </w:rPr>
        <w:t xml:space="preserve">C. Formulaire d'inscription — case à cocher obligatoire</w:t>
      </w:r>
    </w:p>
    <w:p>
      <w:pPr>
        <w:spacing w:after="120" w:before="80"/>
        <w:jc w:val="both"/>
      </w:pPr>
      <w:r>
        <w:rPr>
          <w:rFonts w:ascii="Arial" w:cs="Arial" w:eastAsia="Arial" w:hAnsi="Arial"/>
          <w:color w:val="555555"/>
          <w:sz w:val="22"/>
          <w:szCs w:val="22"/>
        </w:rPr>
        <w:t xml:space="preserve">Lors de la création de compte, ajouter une case à cocher non pré-cochée avec le texte : « J'accepte les Conditions Générales d'Utilisation et la Politique de Confidentialité d'ImmoBF Africa. » La création de compte doit être impossible sans cette acceptation.</w:t>
      </w:r>
    </w:p>
    <w:p>
      <w:pPr>
        <w:spacing w:after="80" w:before="120"/>
      </w:pPr>
      <w:r>
        <w:rPr>
          <w:rFonts w:ascii="Arial" w:cs="Arial" w:eastAsia="Arial" w:hAnsi="Arial"/>
          <w:b/>
          <w:bCs/>
          <w:color w:val="222222"/>
          <w:sz w:val="24"/>
          <w:szCs w:val="24"/>
        </w:rPr>
        <w:t xml:space="preserve">D. Bannière de consentement (cookies)</w:t>
      </w:r>
    </w:p>
    <w:p>
      <w:pPr>
        <w:spacing w:after="120" w:before="80"/>
        <w:jc w:val="both"/>
      </w:pPr>
      <w:r>
        <w:rPr>
          <w:rFonts w:ascii="Arial" w:cs="Arial" w:eastAsia="Arial" w:hAnsi="Arial"/>
          <w:color w:val="555555"/>
          <w:sz w:val="22"/>
          <w:szCs w:val="22"/>
        </w:rPr>
        <w:t xml:space="preserve">Afficher une bannière au premier accès avec deux boutons : « Accepter les cookies essentiels » et « Paramétrer mes préférences ». Conserver la preuve du consentement (date, version des CGU acceptées).</w:t>
      </w:r>
    </w:p>
    <w:p>
      <w:pPr>
        <w:spacing w:after="80" w:before="120"/>
      </w:pPr>
      <w:r>
        <w:rPr>
          <w:rFonts w:ascii="Arial" w:cs="Arial" w:eastAsia="Arial" w:hAnsi="Arial"/>
          <w:b/>
          <w:bCs/>
          <w:color w:val="222222"/>
          <w:sz w:val="24"/>
          <w:szCs w:val="24"/>
        </w:rPr>
        <w:t xml:space="preserve">E. Avant toute transaction financière — avertissement contextuel</w:t>
      </w:r>
    </w:p>
    <w:p>
      <w:pPr>
        <w:spacing w:after="120" w:before="80"/>
        <w:jc w:val="both"/>
      </w:pPr>
      <w:r>
        <w:rPr>
          <w:rFonts w:ascii="Arial" w:cs="Arial" w:eastAsia="Arial" w:hAnsi="Arial"/>
          <w:color w:val="555555"/>
          <w:sz w:val="22"/>
          <w:szCs w:val="22"/>
        </w:rPr>
        <w:t xml:space="preserve">Avant chaque paiement (dépôt, escrow), afficher un encadré rappelant : « ImmoBF Africa agit en tant que facilitateur et n'est pas partie à la transaction immobilière. Nous vous recommandons de vérifier le titre foncier auprès d'un notaire avant tout engagement financier. »</w:t>
      </w:r>
    </w:p>
    <w:p>
      <w:pPr>
        <w:spacing w:after="80" w:before="120"/>
      </w:pPr>
      <w:r>
        <w:rPr>
          <w:rFonts w:ascii="Arial" w:cs="Arial" w:eastAsia="Arial" w:hAnsi="Arial"/>
          <w:b/>
          <w:bCs/>
          <w:color w:val="222222"/>
          <w:sz w:val="24"/>
          <w:szCs w:val="24"/>
        </w:rPr>
        <w:t xml:space="preserve">F. Page de publication d'annonce — déclaration sur l'honneur</w:t>
      </w:r>
    </w:p>
    <w:p>
      <w:pPr>
        <w:spacing w:after="120" w:before="80"/>
        <w:jc w:val="both"/>
      </w:pPr>
      <w:r>
        <w:rPr>
          <w:rFonts w:ascii="Arial" w:cs="Arial" w:eastAsia="Arial" w:hAnsi="Arial"/>
          <w:color w:val="555555"/>
          <w:sz w:val="22"/>
          <w:szCs w:val="22"/>
        </w:rPr>
        <w:t xml:space="preserve">Avant la soumission d'une annonce, l'Annonceur doit cocher : « Je certifie sur l'honneur être propriétaire du bien ou mandaté pour le proposer, et que toutes les informations publiées sont exactes et conformes à la réalité. »</w:t>
      </w:r>
    </w:p>
    <w:p>
      <w:pPr>
        <w:pStyle w:val="Heading2"/>
        <w:spacing w:after="120" w:before="300"/>
      </w:pPr>
      <w:r>
        <w:rPr>
          <w:rFonts w:ascii="Arial" w:cs="Arial" w:eastAsia="Arial" w:hAnsi="Arial"/>
          <w:b/>
          <w:bCs/>
          <w:color w:val="333333"/>
          <w:sz w:val="26"/>
          <w:szCs w:val="26"/>
        </w:rPr>
        <w:t xml:space="preserve">4.2 — Ordre de priorité d'implémentation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1"/>
              <w:left w:val="single" w:color="DDDDDD" w:sz="1"/>
              <w:bottom w:val="single" w:color="DDDDDD" w:sz="1"/>
              <w:right w:val="single" w:color="DDDDDD" w:sz="1"/>
            </w:tcBorders>
            <w:shd w:fill="FFF8E1" w:val="clear"/>
            <w:tcMar>
              <w:top w:type="dxa" w:w="160"/>
              <w:left w:type="dxa" w:w="200"/>
              <w:bottom w:type="dxa" w:w="160"/>
              <w:right w:type="dxa" w:w="200"/>
            </w:tcMar>
          </w:tcPr>
          <w:p>
            <w:pPr>
              <w:spacing w:after="60" w:before="60"/>
            </w:pPr>
            <w:r>
              <w:rPr>
                <w:rFonts w:ascii="Arial" w:cs="Arial" w:eastAsia="Arial" w:hAnsi="Arial"/>
                <w:color w:val="5D4037"/>
                <w:sz w:val="21"/>
                <w:szCs w:val="21"/>
              </w:rPr>
              <w:t xml:space="preserve">Priorité 1 (immédiat) : Footer + Page /legal + Case à cocher inscription</w:t>
            </w:r>
          </w:p>
          <w:p>
            <w:pPr>
              <w:spacing w:after="60" w:before="60"/>
            </w:pPr>
            <w:r>
              <w:rPr>
                <w:rFonts w:ascii="Arial" w:cs="Arial" w:eastAsia="Arial" w:hAnsi="Arial"/>
                <w:color w:val="5D4037"/>
                <w:sz w:val="21"/>
                <w:szCs w:val="21"/>
              </w:rPr>
              <w:t xml:space="preserve">Priorité 2 (avant 1er paiement réel) : Avertissement avant transaction + Déclaration Annonceur</w:t>
            </w:r>
          </w:p>
          <w:p>
            <w:pPr>
              <w:spacing w:after="60" w:before="60"/>
            </w:pPr>
            <w:r>
              <w:rPr>
                <w:rFonts w:ascii="Arial" w:cs="Arial" w:eastAsia="Arial" w:hAnsi="Arial"/>
                <w:color w:val="5D4037"/>
                <w:sz w:val="21"/>
                <w:szCs w:val="21"/>
              </w:rPr>
              <w:t xml:space="preserve">Priorité 3 (avant go-live public) : Bannière cookies + Versioning des CGU acceptées</w:t>
            </w:r>
          </w:p>
        </w:tc>
      </w:tr>
    </w:tbl>
    <w:p>
      <w:pPr>
        <w:pStyle w:val="Heading2"/>
        <w:spacing w:after="120" w:before="300"/>
      </w:pPr>
      <w:r>
        <w:rPr>
          <w:rFonts w:ascii="Arial" w:cs="Arial" w:eastAsia="Arial" w:hAnsi="Arial"/>
          <w:b/>
          <w:bCs/>
          <w:color w:val="333333"/>
          <w:sz w:val="26"/>
          <w:szCs w:val="26"/>
        </w:rPr>
        <w:t xml:space="preserve">4.3 — Recommandation finale</w:t>
      </w:r>
    </w:p>
    <w:p>
      <w:pPr>
        <w:spacing w:after="120" w:before="80"/>
        <w:jc w:val="both"/>
      </w:pPr>
      <w:r>
        <w:rPr>
          <w:rFonts w:ascii="Arial" w:cs="Arial" w:eastAsia="Arial" w:hAnsi="Arial"/>
          <w:color w:val="555555"/>
          <w:sz w:val="22"/>
          <w:szCs w:val="22"/>
        </w:rPr>
        <w:t xml:space="preserve">Les présents textes constituent une base juridique solide rédigée selon les standards OHADA et les bonnes pratiques de protection du consommateur dans l'espace UEMOA. Il est néanmoins fortement recommandé de les faire valider par un avocat inscrit au Barreau du Burkina Faso ou un conseil juridique spécialisé en droit des affaires OHADA avant le lancement commercial officiel, afin d'adapter précisément ces documents aux spécificités de votre structure juridique.</w:t>
      </w:r>
    </w:p>
    <w:p>
      <w:pPr>
        <w:spacing w:before="80"/>
      </w:pPr>
      <w:r>
        <w:rPr>
          <w:rFonts w:ascii="Arial" w:cs="Arial" w:eastAsia="Arial" w:hAnsi="Arial"/>
          <w:i/>
          <w:iCs/>
          <w:color w:val="555555"/>
          <w:sz w:val="20"/>
          <w:szCs w:val="20"/>
        </w:rPr>
        <w:t xml:space="preserve">Contact : legal@immobf.africa — https://immobf-frontend.vercel.app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555555"/>
        <w:sz w:val="18"/>
        <w:szCs w:val="18"/>
      </w:rPr>
      <w:t xml:space="preserve">ImmoBF Africa — https://immobf-frontend.vercel.app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3A" w:sz="6" w:space="1"/>
      </w:pBdr>
    </w:pPr>
    <w:r>
      <w:rPr>
        <w:rFonts w:ascii="Arial" w:cs="Arial" w:eastAsia="Arial" w:hAnsi="Arial"/>
        <w:b/>
        <w:bCs/>
        <w:color w:val="1B6B3A"/>
        <w:sz w:val="20"/>
        <w:szCs w:val="20"/>
      </w:rPr>
      <w:t xml:space="preserve">ImmoBF Africa — Documentation Juridique</w:t>
    </w:r>
    <w:r>
      <w:rPr>
        <w:rFonts w:ascii="Arial" w:cs="Arial" w:eastAsia="Arial" w:hAnsi="Arial"/>
        <w:color w:val="555555"/>
        <w:sz w:val="18"/>
        <w:szCs w:val="18"/>
      </w:rPr>
      <w:t xml:space="preserve">   |   Version 1.0 — 12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6B3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2026-05-12T20:27:22.215Z</dcterms:created>
  <dcterms:modified xsi:type="dcterms:W3CDTF">2026-05-12T20:27:22.215Z</dcterms:modified>
</cp:coreProperties>
</file>

<file path=docProps/custom.xml><?xml version="1.0" encoding="utf-8"?>
<Properties xmlns="http://schemas.openxmlformats.org/officeDocument/2006/custom-properties" xmlns:vt="http://schemas.openxmlformats.org/officeDocument/2006/docPropsVTypes"/>
</file>