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900"/>
        <w:jc w:val="center"/>
      </w:pPr>
      <w:r>
        <w:rPr>
          <w:rFonts w:ascii="Calibri" w:cs="Calibri" w:eastAsia="Calibri" w:hAnsi="Calibri"/>
          <w:b/>
          <w:bCs/>
          <w:color w:val="1A5276"/>
          <w:sz w:val="44"/>
          <w:szCs w:val="44"/>
        </w:rPr>
        <w:t xml:space="preserve">NOTE JURIDIQUE CONFIDENTIELLE</w:t>
      </w:r>
    </w:p>
    <w:p>
      <w:pPr>
        <w:pBdr>
          <w:bottom w:val="single" w:color="0E7C66" w:sz="6" w:space="8"/>
        </w:pBdr>
        <w:spacing w:after="400" w:before="80"/>
        <w:jc w:val="center"/>
      </w:pPr>
      <w:r>
        <w:rPr>
          <w:rFonts w:ascii="Calibri" w:cs="Calibri" w:eastAsia="Calibri" w:hAnsi="Calibri"/>
          <w:i/>
          <w:iCs/>
          <w:color w:val="555555"/>
          <w:sz w:val="24"/>
          <w:szCs w:val="24"/>
        </w:rPr>
        <w:t xml:space="preserve">Analyse et propositions d’amendements — Contrat de Partenariat YengaPay</w:t>
      </w:r>
    </w:p>
    <w:p>
      <w:pPr>
        <w:spacing w:after="0" w:before="120"/>
      </w:pP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200"/>
        <w:gridCol w:w="4800"/>
      </w:tblGrid>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alibri" w:cs="Calibri" w:eastAsia="Calibri" w:hAnsi="Calibri"/>
                <w:b/>
                <w:bCs/>
                <w:color w:val="1A5276"/>
                <w:sz w:val="18"/>
                <w:szCs w:val="18"/>
              </w:rPr>
              <w:t xml:space="preserve">Client</w:t>
            </w:r>
          </w:p>
        </w:tc>
        <w:tc>
          <w:tcPr>
            <w:tcW w:type="dxa" w:w="4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alibri" w:cs="Calibri" w:eastAsia="Calibri" w:hAnsi="Calibri"/>
                <w:b w:val="false"/>
                <w:bCs w:val="false"/>
                <w:color w:val="000000"/>
                <w:sz w:val="18"/>
                <w:szCs w:val="18"/>
              </w:rPr>
              <w:t xml:space="preserve">AfricaDev YC (ImmoBF Africa)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1A5276"/>
                <w:sz w:val="18"/>
                <w:szCs w:val="18"/>
              </w:rPr>
              <w:t xml:space="preserve">Cocontractant</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18"/>
                <w:szCs w:val="18"/>
              </w:rPr>
              <w:t xml:space="preserve">KREEZUS SAS (YengaPay)</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alibri" w:cs="Calibri" w:eastAsia="Calibri" w:hAnsi="Calibri"/>
                <w:b/>
                <w:bCs/>
                <w:color w:val="1A5276"/>
                <w:sz w:val="18"/>
                <w:szCs w:val="18"/>
              </w:rPr>
              <w:t xml:space="preserve">Date</w:t>
            </w:r>
          </w:p>
        </w:tc>
        <w:tc>
          <w:tcPr>
            <w:tcW w:type="dxa" w:w="4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alibri" w:cs="Calibri" w:eastAsia="Calibri" w:hAnsi="Calibri"/>
                <w:b w:val="false"/>
                <w:bCs w:val="false"/>
                <w:color w:val="000000"/>
                <w:sz w:val="18"/>
                <w:szCs w:val="18"/>
              </w:rPr>
              <w:t xml:space="preserve">4 juillet 2026</w:t>
            </w:r>
          </w:p>
        </w:tc>
      </w:tr>
      <w:tr>
        <w:tc>
          <w:tcPr>
            <w:tcW w:type="dxa" w:w="2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Calibri" w:cs="Calibri" w:eastAsia="Calibri" w:hAnsi="Calibri"/>
                <w:b/>
                <w:bCs/>
                <w:color w:val="C0392B"/>
                <w:sz w:val="18"/>
                <w:szCs w:val="18"/>
              </w:rPr>
              <w:t xml:space="preserve">Statut</w:t>
            </w:r>
          </w:p>
        </w:tc>
        <w:tc>
          <w:tcPr>
            <w:tcW w:type="dxa" w:w="4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Calibri" w:cs="Calibri" w:eastAsia="Calibri" w:hAnsi="Calibri"/>
                <w:b/>
                <w:bCs/>
                <w:color w:val="C0392B"/>
                <w:sz w:val="18"/>
                <w:szCs w:val="18"/>
              </w:rPr>
              <w:t xml:space="preserve">CONFIDENTIEL — Ne pas diffuser</w:t>
            </w:r>
          </w:p>
        </w:tc>
      </w:tr>
    </w:tbl>
    <w:p>
      <w:pPr>
        <w:spacing w:after="0" w:before="120"/>
      </w:pPr>
    </w:p>
    <w:p>
      <w:pPr>
        <w:spacing w:after="0" w:before="120"/>
      </w:pPr>
    </w:p>
    <w:p>
      <w:pPr>
        <w:spacing w:after="60" w:before="200"/>
        <w:jc w:val="center"/>
      </w:pPr>
      <w:r>
        <w:rPr>
          <w:rFonts w:ascii="Calibri" w:cs="Calibri" w:eastAsia="Calibri" w:hAnsi="Calibri"/>
          <w:b/>
          <w:bCs/>
          <w:color w:val="C0392B"/>
          <w:sz w:val="18"/>
          <w:szCs w:val="18"/>
        </w:rPr>
        <w:t xml:space="preserve">Avertissement</w:t>
      </w:r>
    </w:p>
    <w:p>
      <w:pPr>
        <w:spacing w:after="400" w:before="0"/>
        <w:jc w:val="center"/>
      </w:pPr>
      <w:r>
        <w:rPr>
          <w:rFonts w:ascii="Calibri" w:cs="Calibri" w:eastAsia="Calibri" w:hAnsi="Calibri"/>
          <w:i/>
          <w:iCs/>
          <w:color w:val="555555"/>
          <w:sz w:val="16"/>
          <w:szCs w:val="16"/>
        </w:rPr>
        <w:t xml:space="preserve">La présente note est rédigée dans le cadre d’une analyse interne pour AfricaDev YC. Elle ne constitue pas un avis juridique opposable à des tiers.</w:t>
      </w:r>
    </w:p>
    <w:p>
      <w:r>
        <w:br w:type="page"/>
      </w:r>
    </w:p>
    <w:p>
      <w:pPr>
        <w:pStyle w:val="Heading1"/>
        <w:pBdr>
          <w:bottom w:val="single" w:color="0E7C66" w:sz="4" w:space="4"/>
        </w:pBdr>
        <w:spacing w:after="200" w:before="400"/>
      </w:pPr>
      <w:r>
        <w:rPr>
          <w:rFonts w:ascii="Calibri" w:cs="Calibri" w:eastAsia="Calibri" w:hAnsi="Calibri"/>
          <w:b/>
          <w:bCs/>
          <w:color w:val="1A5276"/>
          <w:sz w:val="32"/>
          <w:szCs w:val="32"/>
        </w:rPr>
        <w:t xml:space="preserve">I. SYNTHÈSE EXÉCUTIVE</w:t>
      </w:r>
    </w:p>
    <w:p>
      <w:pPr>
        <w:spacing w:after="100" w:before="60"/>
      </w:pPr>
      <w:r>
        <w:rPr>
          <w:rFonts w:ascii="Calibri" w:cs="Calibri" w:eastAsia="Calibri" w:hAnsi="Calibri"/>
          <w:sz w:val="20"/>
          <w:szCs w:val="20"/>
        </w:rPr>
        <w:t xml:space="preserve">Le contrat YengaPay est un contrat d’adhésion rédigé dans l’intérêt exclusif du prestataire. Il présente </w:t>
      </w:r>
      <w:r>
        <w:rPr>
          <w:rFonts w:ascii="Calibri" w:cs="Calibri" w:eastAsia="Calibri" w:hAnsi="Calibri"/>
          <w:b/>
          <w:bCs/>
          <w:color w:val="C0392B"/>
          <w:sz w:val="20"/>
          <w:szCs w:val="20"/>
        </w:rPr>
        <w:t xml:space="preserve">sept points d’alerte</w:t>
      </w:r>
      <w:r>
        <w:rPr>
          <w:rFonts w:ascii="Calibri" w:cs="Calibri" w:eastAsia="Calibri" w:hAnsi="Calibri"/>
          <w:sz w:val="20"/>
          <w:szCs w:val="20"/>
        </w:rPr>
        <w:t xml:space="preserve"> nécessitant négociation impérative avant signature.</w:t>
      </w:r>
    </w:p>
    <w:p>
      <w:pPr>
        <w:spacing w:after="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300"/>
        <w:gridCol w:w="3126"/>
      </w:tblGrid>
      <w:tr>
        <w:trPr>
          <w:tblHeader/>
        </w:trPr>
        <w:tc>
          <w:tcPr>
            <w:tcW w:type="dxa" w:w="1200"/>
            <w:tcBorders>
              <w:top w:val="single" w:color="AAAAAA" w:sz="1"/>
              <w:left w:val="single" w:color="AAAAAA" w:sz="1"/>
              <w:bottom w:val="single" w:color="AAAAAA" w:sz="1"/>
              <w:right w:val="single" w:color="AAAAAA" w:sz="1"/>
            </w:tcBorders>
            <w:shd w:fill="1A5276" w:val="clear"/>
            <w:tcMar>
              <w:top w:type="dxa" w:w="80"/>
              <w:left w:type="dxa" w:w="120"/>
              <w:bottom w:type="dxa" w:w="80"/>
              <w:right w:type="dxa" w:w="120"/>
            </w:tcMar>
          </w:tcPr>
          <w:p>
            <w:r>
              <w:rPr>
                <w:rFonts w:ascii="Calibri" w:cs="Calibri" w:eastAsia="Calibri" w:hAnsi="Calibri"/>
                <w:b/>
                <w:bCs/>
                <w:color w:val="FFFFFF"/>
                <w:sz w:val="18"/>
                <w:szCs w:val="18"/>
              </w:rPr>
              <w:t xml:space="preserve">Article</w:t>
            </w:r>
          </w:p>
        </w:tc>
        <w:tc>
          <w:tcPr>
            <w:tcW w:type="dxa" w:w="3400"/>
            <w:tcBorders>
              <w:top w:val="single" w:color="AAAAAA" w:sz="1"/>
              <w:left w:val="single" w:color="AAAAAA" w:sz="1"/>
              <w:bottom w:val="single" w:color="AAAAAA" w:sz="1"/>
              <w:right w:val="single" w:color="AAAAAA" w:sz="1"/>
            </w:tcBorders>
            <w:shd w:fill="1A5276" w:val="clear"/>
            <w:tcMar>
              <w:top w:type="dxa" w:w="80"/>
              <w:left w:type="dxa" w:w="120"/>
              <w:bottom w:type="dxa" w:w="80"/>
              <w:right w:type="dxa" w:w="120"/>
            </w:tcMar>
          </w:tcPr>
          <w:p>
            <w:r>
              <w:rPr>
                <w:rFonts w:ascii="Calibri" w:cs="Calibri" w:eastAsia="Calibri" w:hAnsi="Calibri"/>
                <w:b/>
                <w:bCs/>
                <w:color w:val="FFFFFF"/>
                <w:sz w:val="18"/>
                <w:szCs w:val="18"/>
              </w:rPr>
              <w:t xml:space="preserve">Risque identifié</w:t>
            </w:r>
          </w:p>
        </w:tc>
        <w:tc>
          <w:tcPr>
            <w:tcW w:type="dxa" w:w="1300"/>
            <w:tcBorders>
              <w:top w:val="single" w:color="AAAAAA" w:sz="1"/>
              <w:left w:val="single" w:color="AAAAAA" w:sz="1"/>
              <w:bottom w:val="single" w:color="AAAAAA" w:sz="1"/>
              <w:right w:val="single" w:color="AAAAAA" w:sz="1"/>
            </w:tcBorders>
            <w:shd w:fill="1A5276" w:val="clear"/>
            <w:tcMar>
              <w:top w:type="dxa" w:w="80"/>
              <w:left w:type="dxa" w:w="120"/>
              <w:bottom w:type="dxa" w:w="80"/>
              <w:right w:type="dxa" w:w="120"/>
            </w:tcMar>
          </w:tcPr>
          <w:p>
            <w:r>
              <w:rPr>
                <w:rFonts w:ascii="Calibri" w:cs="Calibri" w:eastAsia="Calibri" w:hAnsi="Calibri"/>
                <w:b/>
                <w:bCs/>
                <w:color w:val="FFFFFF"/>
                <w:sz w:val="18"/>
                <w:szCs w:val="18"/>
              </w:rPr>
              <w:t xml:space="preserve">Niveau</w:t>
            </w:r>
          </w:p>
        </w:tc>
        <w:tc>
          <w:tcPr>
            <w:tcW w:type="dxa" w:w="3126"/>
            <w:tcBorders>
              <w:top w:val="single" w:color="AAAAAA" w:sz="1"/>
              <w:left w:val="single" w:color="AAAAAA" w:sz="1"/>
              <w:bottom w:val="single" w:color="AAAAAA" w:sz="1"/>
              <w:right w:val="single" w:color="AAAAAA" w:sz="1"/>
            </w:tcBorders>
            <w:shd w:fill="1A5276" w:val="clear"/>
            <w:tcMar>
              <w:top w:type="dxa" w:w="80"/>
              <w:left w:type="dxa" w:w="120"/>
              <w:bottom w:type="dxa" w:w="80"/>
              <w:right w:type="dxa" w:w="120"/>
            </w:tcMar>
          </w:tcPr>
          <w:p>
            <w:r>
              <w:rPr>
                <w:rFonts w:ascii="Calibri" w:cs="Calibri" w:eastAsia="Calibri" w:hAnsi="Calibri"/>
                <w:b/>
                <w:bCs/>
                <w:color w:val="FFFFFF"/>
                <w:sz w:val="18"/>
                <w:szCs w:val="18"/>
              </w:rPr>
              <w:t xml:space="preserve">Amendement proposé</w:t>
            </w:r>
          </w:p>
        </w:tc>
      </w:tr>
      <w:tr>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Calibri" w:cs="Calibri" w:eastAsia="Calibri" w:hAnsi="Calibri"/>
                <w:b/>
                <w:bCs/>
                <w:color w:val="1A5276"/>
                <w:sz w:val="18"/>
                <w:szCs w:val="18"/>
              </w:rPr>
              <w:t xml:space="preserve">Parties</w:t>
            </w:r>
          </w:p>
        </w:tc>
        <w:tc>
          <w:tcPr>
            <w:tcW w:type="dxa" w:w="34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Calibri" w:cs="Calibri" w:eastAsia="Calibri" w:hAnsi="Calibri"/>
                <w:b w:val="false"/>
                <w:bCs w:val="false"/>
                <w:color w:val="000000"/>
                <w:sz w:val="18"/>
                <w:szCs w:val="18"/>
              </w:rPr>
              <w:t xml:space="preserve">Identité du Partenaire non renseignée (placeholders)</w:t>
            </w:r>
          </w:p>
        </w:tc>
        <w:tc>
          <w:tcPr>
            <w:tcW w:type="dxa" w:w="13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Calibri" w:cs="Calibri" w:eastAsia="Calibri" w:hAnsi="Calibri"/>
                <w:b/>
                <w:bCs/>
                <w:color w:val="C0392B"/>
                <w:sz w:val="18"/>
                <w:szCs w:val="18"/>
              </w:rPr>
              <w:t xml:space="preserve">BLOQUANT</w:t>
            </w:r>
          </w:p>
        </w:tc>
        <w:tc>
          <w:tcPr>
            <w:tcW w:type="dxa" w:w="3126"/>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Calibri" w:cs="Calibri" w:eastAsia="Calibri" w:hAnsi="Calibri"/>
                <w:b w:val="false"/>
                <w:bCs w:val="false"/>
                <w:color w:val="000000"/>
                <w:sz w:val="18"/>
                <w:szCs w:val="18"/>
              </w:rPr>
              <w:t xml:space="preserve">Compléter les données d’AfricaDev avant signature</w:t>
            </w:r>
          </w:p>
        </w:tc>
      </w:tr>
      <w:tr>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Calibri" w:cs="Calibri" w:eastAsia="Calibri" w:hAnsi="Calibri"/>
                <w:b/>
                <w:bCs/>
                <w:color w:val="1A5276"/>
                <w:sz w:val="18"/>
                <w:szCs w:val="18"/>
              </w:rPr>
              <w:t xml:space="preserve">Art. 3</w:t>
            </w:r>
          </w:p>
        </w:tc>
        <w:tc>
          <w:tcPr>
            <w:tcW w:type="dxa" w:w="34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Calibri" w:cs="Calibri" w:eastAsia="Calibri" w:hAnsi="Calibri"/>
                <w:b w:val="false"/>
                <w:bCs w:val="false"/>
                <w:color w:val="000000"/>
                <w:sz w:val="18"/>
                <w:szCs w:val="18"/>
              </w:rPr>
              <w:t xml:space="preserve">Aucun SLA ni disponibilité garantie</w:t>
            </w:r>
          </w:p>
        </w:tc>
        <w:tc>
          <w:tcPr>
            <w:tcW w:type="dxa" w:w="13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Calibri" w:cs="Calibri" w:eastAsia="Calibri" w:hAnsi="Calibri"/>
                <w:b/>
                <w:bCs/>
                <w:color w:val="C0392B"/>
                <w:sz w:val="18"/>
                <w:szCs w:val="18"/>
              </w:rPr>
              <w:t xml:space="preserve">CRITIQUE</w:t>
            </w:r>
          </w:p>
        </w:tc>
        <w:tc>
          <w:tcPr>
            <w:tcW w:type="dxa" w:w="3126"/>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Calibri" w:cs="Calibri" w:eastAsia="Calibri" w:hAnsi="Calibri"/>
                <w:b w:val="false"/>
                <w:bCs w:val="false"/>
                <w:color w:val="000000"/>
                <w:sz w:val="18"/>
                <w:szCs w:val="18"/>
              </w:rPr>
              <w:t xml:space="preserve">99,5% / mois + pénalités par tranche</w:t>
            </w:r>
          </w:p>
        </w:tc>
      </w:tr>
      <w:tr>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Calibri" w:cs="Calibri" w:eastAsia="Calibri" w:hAnsi="Calibri"/>
                <w:b/>
                <w:bCs/>
                <w:color w:val="1A5276"/>
                <w:sz w:val="18"/>
                <w:szCs w:val="18"/>
              </w:rPr>
              <w:t xml:space="preserve">Art. 4</w:t>
            </w:r>
          </w:p>
        </w:tc>
        <w:tc>
          <w:tcPr>
            <w:tcW w:type="dxa" w:w="34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Calibri" w:cs="Calibri" w:eastAsia="Calibri" w:hAnsi="Calibri"/>
                <w:b w:val="false"/>
                <w:bCs w:val="false"/>
                <w:color w:val="000000"/>
                <w:sz w:val="18"/>
                <w:szCs w:val="18"/>
              </w:rPr>
              <w:t xml:space="preserve">Aucun délai de reversement des fonds collectés</w:t>
            </w:r>
          </w:p>
        </w:tc>
        <w:tc>
          <w:tcPr>
            <w:tcW w:type="dxa" w:w="13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Calibri" w:cs="Calibri" w:eastAsia="Calibri" w:hAnsi="Calibri"/>
                <w:b/>
                <w:bCs/>
                <w:color w:val="C0392B"/>
                <w:sz w:val="18"/>
                <w:szCs w:val="18"/>
              </w:rPr>
              <w:t xml:space="preserve">CRITIQUE</w:t>
            </w:r>
          </w:p>
        </w:tc>
        <w:tc>
          <w:tcPr>
            <w:tcW w:type="dxa" w:w="3126"/>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Calibri" w:cs="Calibri" w:eastAsia="Calibri" w:hAnsi="Calibri"/>
                <w:b w:val="false"/>
                <w:bCs w:val="false"/>
                <w:color w:val="000000"/>
                <w:sz w:val="18"/>
                <w:szCs w:val="18"/>
              </w:rPr>
              <w:t xml:space="preserve">J+2 ouvrables après créditation</w:t>
            </w:r>
          </w:p>
        </w:tc>
      </w:tr>
      <w:tr>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Calibri" w:cs="Calibri" w:eastAsia="Calibri" w:hAnsi="Calibri"/>
                <w:b/>
                <w:bCs/>
                <w:color w:val="1A5276"/>
                <w:sz w:val="18"/>
                <w:szCs w:val="18"/>
              </w:rPr>
              <w:t xml:space="preserve">Art. 5</w:t>
            </w:r>
          </w:p>
        </w:tc>
        <w:tc>
          <w:tcPr>
            <w:tcW w:type="dxa" w:w="34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Calibri" w:cs="Calibri" w:eastAsia="Calibri" w:hAnsi="Calibri"/>
                <w:b w:val="false"/>
                <w:bCs w:val="false"/>
                <w:color w:val="000000"/>
                <w:sz w:val="18"/>
                <w:szCs w:val="18"/>
              </w:rPr>
              <w:t xml:space="preserve">Préavis de résiliation de 15 jours seulement</w:t>
            </w:r>
          </w:p>
        </w:tc>
        <w:tc>
          <w:tcPr>
            <w:tcW w:type="dxa" w:w="13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Calibri" w:cs="Calibri" w:eastAsia="Calibri" w:hAnsi="Calibri"/>
                <w:b/>
                <w:bCs/>
                <w:color w:val="C0392B"/>
                <w:sz w:val="18"/>
                <w:szCs w:val="18"/>
              </w:rPr>
              <w:t xml:space="preserve">CRITIQUE</w:t>
            </w:r>
          </w:p>
        </w:tc>
        <w:tc>
          <w:tcPr>
            <w:tcW w:type="dxa" w:w="3126"/>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Calibri" w:cs="Calibri" w:eastAsia="Calibri" w:hAnsi="Calibri"/>
                <w:b w:val="false"/>
                <w:bCs w:val="false"/>
                <w:color w:val="000000"/>
                <w:sz w:val="18"/>
                <w:szCs w:val="18"/>
              </w:rPr>
              <w:t xml:space="preserve">Porter à 60 jours ; 15 jours pour faute grave</w:t>
            </w:r>
          </w:p>
        </w:tc>
      </w:tr>
      <w:tr>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Calibri" w:cs="Calibri" w:eastAsia="Calibri" w:hAnsi="Calibri"/>
                <w:b/>
                <w:bCs/>
                <w:color w:val="1A5276"/>
                <w:sz w:val="18"/>
                <w:szCs w:val="18"/>
              </w:rPr>
              <w:t xml:space="preserve">Art. 6</w:t>
            </w:r>
          </w:p>
        </w:tc>
        <w:tc>
          <w:tcPr>
            <w:tcW w:type="dxa" w:w="34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Calibri" w:cs="Calibri" w:eastAsia="Calibri" w:hAnsi="Calibri"/>
                <w:b w:val="false"/>
                <w:bCs w:val="false"/>
                <w:color w:val="000000"/>
                <w:sz w:val="18"/>
                <w:szCs w:val="18"/>
              </w:rPr>
              <w:t xml:space="preserve">Exénération totale de responsabilité de KREEZUS</w:t>
            </w:r>
          </w:p>
        </w:tc>
        <w:tc>
          <w:tcPr>
            <w:tcW w:type="dxa" w:w="13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Calibri" w:cs="Calibri" w:eastAsia="Calibri" w:hAnsi="Calibri"/>
                <w:b/>
                <w:bCs/>
                <w:color w:val="C0392B"/>
                <w:sz w:val="18"/>
                <w:szCs w:val="18"/>
              </w:rPr>
              <w:t xml:space="preserve">CRITIQUE</w:t>
            </w:r>
          </w:p>
        </w:tc>
        <w:tc>
          <w:tcPr>
            <w:tcW w:type="dxa" w:w="3126"/>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Calibri" w:cs="Calibri" w:eastAsia="Calibri" w:hAnsi="Calibri"/>
                <w:b w:val="false"/>
                <w:bCs w:val="false"/>
                <w:color w:val="000000"/>
                <w:sz w:val="18"/>
                <w:szCs w:val="18"/>
              </w:rPr>
              <w:t xml:space="preserve">Limiter à la force majeure + plafond 3 mois de frais</w:t>
            </w:r>
          </w:p>
        </w:tc>
      </w:tr>
      <w:tr>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Calibri" w:cs="Calibri" w:eastAsia="Calibri" w:hAnsi="Calibri"/>
                <w:b/>
                <w:bCs/>
                <w:color w:val="1A5276"/>
                <w:sz w:val="18"/>
                <w:szCs w:val="18"/>
              </w:rPr>
              <w:t xml:space="preserve">Art. 7</w:t>
            </w:r>
          </w:p>
        </w:tc>
        <w:tc>
          <w:tcPr>
            <w:tcW w:type="dxa" w:w="34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Calibri" w:cs="Calibri" w:eastAsia="Calibri" w:hAnsi="Calibri"/>
                <w:b w:val="false"/>
                <w:bCs w:val="false"/>
                <w:color w:val="000000"/>
                <w:sz w:val="18"/>
                <w:szCs w:val="18"/>
              </w:rPr>
              <w:t xml:space="preserve">Modification unilatérale des tarifs sans préavis</w:t>
            </w:r>
          </w:p>
        </w:tc>
        <w:tc>
          <w:tcPr>
            <w:tcW w:type="dxa" w:w="13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Calibri" w:cs="Calibri" w:eastAsia="Calibri" w:hAnsi="Calibri"/>
                <w:b/>
                <w:bCs/>
                <w:color w:val="C0392B"/>
                <w:sz w:val="18"/>
                <w:szCs w:val="18"/>
              </w:rPr>
              <w:t xml:space="preserve">CRITIQUE</w:t>
            </w:r>
          </w:p>
        </w:tc>
        <w:tc>
          <w:tcPr>
            <w:tcW w:type="dxa" w:w="3126"/>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Calibri" w:cs="Calibri" w:eastAsia="Calibri" w:hAnsi="Calibri"/>
                <w:b w:val="false"/>
                <w:bCs w:val="false"/>
                <w:color w:val="000000"/>
                <w:sz w:val="18"/>
                <w:szCs w:val="18"/>
              </w:rPr>
              <w:t xml:space="preserve">30 jours de préavis + droit de refus/résiliation</w:t>
            </w:r>
          </w:p>
        </w:tc>
      </w:tr>
      <w:tr>
        <w:tc>
          <w:tcPr>
            <w:tcW w:type="dxa" w:w="12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Calibri" w:cs="Calibri" w:eastAsia="Calibri" w:hAnsi="Calibri"/>
                <w:b/>
                <w:bCs/>
                <w:color w:val="1A5276"/>
                <w:sz w:val="18"/>
                <w:szCs w:val="18"/>
              </w:rPr>
              <w:t xml:space="preserve">Art. 8</w:t>
            </w:r>
          </w:p>
        </w:tc>
        <w:tc>
          <w:tcPr>
            <w:tcW w:type="dxa" w:w="34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Calibri" w:cs="Calibri" w:eastAsia="Calibri" w:hAnsi="Calibri"/>
                <w:b w:val="false"/>
                <w:bCs w:val="false"/>
                <w:color w:val="000000"/>
                <w:sz w:val="18"/>
                <w:szCs w:val="18"/>
              </w:rPr>
              <w:t xml:space="preserve">Confidentialité : 2 ans post-résiliation, sans sanction</w:t>
            </w:r>
          </w:p>
        </w:tc>
        <w:tc>
          <w:tcPr>
            <w:tcW w:type="dxa" w:w="13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Calibri" w:cs="Calibri" w:eastAsia="Calibri" w:hAnsi="Calibri"/>
                <w:b/>
                <w:bCs/>
                <w:color w:val="A04000"/>
                <w:sz w:val="18"/>
                <w:szCs w:val="18"/>
              </w:rPr>
              <w:t xml:space="preserve">IMPORTANT</w:t>
            </w:r>
          </w:p>
        </w:tc>
        <w:tc>
          <w:tcPr>
            <w:tcW w:type="dxa" w:w="3126"/>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Calibri" w:cs="Calibri" w:eastAsia="Calibri" w:hAnsi="Calibri"/>
                <w:b w:val="false"/>
                <w:bCs w:val="false"/>
                <w:color w:val="000000"/>
                <w:sz w:val="18"/>
                <w:szCs w:val="18"/>
              </w:rPr>
              <w:t xml:space="preserve">5 ans + clause pénale</w:t>
            </w:r>
          </w:p>
        </w:tc>
      </w:tr>
      <w:tr>
        <w:tc>
          <w:tcPr>
            <w:tcW w:type="dxa" w:w="12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Calibri" w:cs="Calibri" w:eastAsia="Calibri" w:hAnsi="Calibri"/>
                <w:b/>
                <w:bCs/>
                <w:color w:val="1A5276"/>
                <w:sz w:val="18"/>
                <w:szCs w:val="18"/>
              </w:rPr>
              <w:t xml:space="preserve">Art. 9</w:t>
            </w:r>
          </w:p>
        </w:tc>
        <w:tc>
          <w:tcPr>
            <w:tcW w:type="dxa" w:w="34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Calibri" w:cs="Calibri" w:eastAsia="Calibri" w:hAnsi="Calibri"/>
                <w:b w:val="false"/>
                <w:bCs w:val="false"/>
                <w:color w:val="000000"/>
                <w:sz w:val="18"/>
                <w:szCs w:val="18"/>
              </w:rPr>
              <w:t xml:space="preserve">Licence d’utilisation de l’API non définie</w:t>
            </w:r>
          </w:p>
        </w:tc>
        <w:tc>
          <w:tcPr>
            <w:tcW w:type="dxa" w:w="13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Calibri" w:cs="Calibri" w:eastAsia="Calibri" w:hAnsi="Calibri"/>
                <w:b/>
                <w:bCs/>
                <w:color w:val="A04000"/>
                <w:sz w:val="18"/>
                <w:szCs w:val="18"/>
              </w:rPr>
              <w:t xml:space="preserve">IMPORTANT</w:t>
            </w:r>
          </w:p>
        </w:tc>
        <w:tc>
          <w:tcPr>
            <w:tcW w:type="dxa" w:w="3126"/>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Calibri" w:cs="Calibri" w:eastAsia="Calibri" w:hAnsi="Calibri"/>
                <w:b w:val="false"/>
                <w:bCs w:val="false"/>
                <w:color w:val="000000"/>
                <w:sz w:val="18"/>
                <w:szCs w:val="18"/>
              </w:rPr>
              <w:t xml:space="preserve">Licence non-exclusive, révocable, non-transférable</w:t>
            </w:r>
          </w:p>
        </w:tc>
      </w:tr>
      <w:tr>
        <w:tc>
          <w:tcPr>
            <w:tcW w:type="dxa" w:w="12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Calibri" w:cs="Calibri" w:eastAsia="Calibri" w:hAnsi="Calibri"/>
                <w:b/>
                <w:bCs/>
                <w:color w:val="1A5276"/>
                <w:sz w:val="18"/>
                <w:szCs w:val="18"/>
              </w:rPr>
              <w:t xml:space="preserve">Art. 10</w:t>
            </w:r>
          </w:p>
        </w:tc>
        <w:tc>
          <w:tcPr>
            <w:tcW w:type="dxa" w:w="34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Calibri" w:cs="Calibri" w:eastAsia="Calibri" w:hAnsi="Calibri"/>
                <w:b w:val="false"/>
                <w:bCs w:val="false"/>
                <w:color w:val="000000"/>
                <w:sz w:val="18"/>
                <w:szCs w:val="18"/>
              </w:rPr>
              <w:t xml:space="preserve">Absence de loi applicable et de médiation formelle</w:t>
            </w:r>
          </w:p>
        </w:tc>
        <w:tc>
          <w:tcPr>
            <w:tcW w:type="dxa" w:w="13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Calibri" w:cs="Calibri" w:eastAsia="Calibri" w:hAnsi="Calibri"/>
                <w:b/>
                <w:bCs/>
                <w:color w:val="A04000"/>
                <w:sz w:val="18"/>
                <w:szCs w:val="18"/>
              </w:rPr>
              <w:t xml:space="preserve">IMPORTANT</w:t>
            </w:r>
          </w:p>
        </w:tc>
        <w:tc>
          <w:tcPr>
            <w:tcW w:type="dxa" w:w="3126"/>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Calibri" w:cs="Calibri" w:eastAsia="Calibri" w:hAnsi="Calibri"/>
                <w:b w:val="false"/>
                <w:bCs w:val="false"/>
                <w:color w:val="000000"/>
                <w:sz w:val="18"/>
                <w:szCs w:val="18"/>
              </w:rPr>
              <w:t xml:space="preserve">Loi burkinèbe + OHADA ; médiation CAM-CO obligatoire</w:t>
            </w:r>
          </w:p>
        </w:tc>
      </w:tr>
      <w:tr>
        <w:tc>
          <w:tcPr>
            <w:tcW w:type="dxa" w:w="12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Calibri" w:cs="Calibri" w:eastAsia="Calibri" w:hAnsi="Calibri"/>
                <w:b/>
                <w:bCs/>
                <w:color w:val="1A5276"/>
                <w:sz w:val="18"/>
                <w:szCs w:val="18"/>
              </w:rPr>
              <w:t xml:space="preserve">Manquant</w:t>
            </w:r>
          </w:p>
        </w:tc>
        <w:tc>
          <w:tcPr>
            <w:tcW w:type="dxa" w:w="34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Calibri" w:cs="Calibri" w:eastAsia="Calibri" w:hAnsi="Calibri"/>
                <w:b w:val="false"/>
                <w:bCs w:val="false"/>
                <w:color w:val="000000"/>
                <w:sz w:val="18"/>
                <w:szCs w:val="18"/>
              </w:rPr>
              <w:t xml:space="preserve">Absence de clause protection des données (APDP-BF)</w:t>
            </w:r>
          </w:p>
        </w:tc>
        <w:tc>
          <w:tcPr>
            <w:tcW w:type="dxa" w:w="13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Calibri" w:cs="Calibri" w:eastAsia="Calibri" w:hAnsi="Calibri"/>
                <w:b/>
                <w:bCs/>
                <w:color w:val="A04000"/>
                <w:sz w:val="18"/>
                <w:szCs w:val="18"/>
              </w:rPr>
              <w:t xml:space="preserve">IMPORTANT</w:t>
            </w:r>
          </w:p>
        </w:tc>
        <w:tc>
          <w:tcPr>
            <w:tcW w:type="dxa" w:w="3126"/>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Calibri" w:cs="Calibri" w:eastAsia="Calibri" w:hAnsi="Calibri"/>
                <w:b w:val="false"/>
                <w:bCs w:val="false"/>
                <w:color w:val="000000"/>
                <w:sz w:val="18"/>
                <w:szCs w:val="18"/>
              </w:rPr>
              <w:t xml:space="preserve">Insérer Article 11 sur la protection des données</w:t>
            </w:r>
          </w:p>
        </w:tc>
      </w:tr>
      <w:tr>
        <w:tc>
          <w:tcPr>
            <w:tcW w:type="dxa" w:w="12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Calibri" w:cs="Calibri" w:eastAsia="Calibri" w:hAnsi="Calibri"/>
                <w:b/>
                <w:bCs/>
                <w:color w:val="1A5276"/>
                <w:sz w:val="18"/>
                <w:szCs w:val="18"/>
              </w:rPr>
              <w:t xml:space="preserve">Manquant</w:t>
            </w:r>
          </w:p>
        </w:tc>
        <w:tc>
          <w:tcPr>
            <w:tcW w:type="dxa" w:w="34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Calibri" w:cs="Calibri" w:eastAsia="Calibri" w:hAnsi="Calibri"/>
                <w:b w:val="false"/>
                <w:bCs w:val="false"/>
                <w:color w:val="000000"/>
                <w:sz w:val="18"/>
                <w:szCs w:val="18"/>
              </w:rPr>
              <w:t xml:space="preserve">Aucune procédure de suspension / gestion des fraudes</w:t>
            </w:r>
          </w:p>
        </w:tc>
        <w:tc>
          <w:tcPr>
            <w:tcW w:type="dxa" w:w="13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Calibri" w:cs="Calibri" w:eastAsia="Calibri" w:hAnsi="Calibri"/>
                <w:b/>
                <w:bCs/>
                <w:color w:val="A04000"/>
                <w:sz w:val="18"/>
                <w:szCs w:val="18"/>
              </w:rPr>
              <w:t xml:space="preserve">IMPORTANT</w:t>
            </w:r>
          </w:p>
        </w:tc>
        <w:tc>
          <w:tcPr>
            <w:tcW w:type="dxa" w:w="3126"/>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Calibri" w:cs="Calibri" w:eastAsia="Calibri" w:hAnsi="Calibri"/>
                <w:b w:val="false"/>
                <w:bCs w:val="false"/>
                <w:color w:val="000000"/>
                <w:sz w:val="18"/>
                <w:szCs w:val="18"/>
              </w:rPr>
              <w:t xml:space="preserve">Insérer Article 12 sur les incidents et fraudes</w:t>
            </w:r>
          </w:p>
        </w:tc>
      </w:tr>
    </w:tbl>
    <w:p>
      <w:r>
        <w:br w:type="page"/>
      </w:r>
    </w:p>
    <w:p>
      <w:pPr>
        <w:pStyle w:val="Heading1"/>
        <w:pBdr>
          <w:bottom w:val="single" w:color="0E7C66" w:sz="4" w:space="4"/>
        </w:pBdr>
        <w:spacing w:after="200" w:before="400"/>
      </w:pPr>
      <w:r>
        <w:rPr>
          <w:rFonts w:ascii="Calibri" w:cs="Calibri" w:eastAsia="Calibri" w:hAnsi="Calibri"/>
          <w:b/>
          <w:bCs/>
          <w:color w:val="1A5276"/>
          <w:sz w:val="32"/>
          <w:szCs w:val="32"/>
        </w:rPr>
        <w:t xml:space="preserve">II. ANALYSE ARTICLE PAR ARTICLE</w:t>
      </w:r>
    </w:p>
    <w:p>
      <w:pPr>
        <w:spacing w:after="0" w:before="120"/>
      </w:pPr>
    </w:p>
    <w:p>
      <w:pPr>
        <w:pBdr>
          <w:left w:val="single" w:color="C0392B" w:sz="12" w:space="8"/>
        </w:pBdr>
        <w:spacing w:after="80" w:before="240"/>
      </w:pPr>
      <w:r>
        <w:rPr>
          <w:rFonts w:ascii="Calibri" w:cs="Calibri" w:eastAsia="Calibri" w:hAnsi="Calibri"/>
          <w:b/>
          <w:bCs/>
          <w:color w:val="1A5276"/>
          <w:sz w:val="24"/>
          <w:szCs w:val="24"/>
        </w:rPr>
        <w:t xml:space="preserve">Identification des Parties   </w:t>
      </w:r>
      <w:r>
        <w:rPr>
          <w:rFonts w:ascii="Calibri" w:cs="Calibri" w:eastAsia="Calibri" w:hAnsi="Calibri"/>
          <w:b/>
          <w:bCs/>
          <w:color w:val="C0392B"/>
          <w:sz w:val="20"/>
          <w:szCs w:val="20"/>
        </w:rPr>
        <w:t xml:space="preserve">[BLOQUANT]</w:t>
      </w:r>
    </w:p>
    <w:p>
      <w:pPr>
        <w:spacing w:after="100" w:before="60"/>
      </w:pPr>
      <w:r>
        <w:rPr>
          <w:rFonts w:ascii="Calibri" w:cs="Calibri" w:eastAsia="Calibri" w:hAnsi="Calibri"/>
          <w:sz w:val="20"/>
          <w:szCs w:val="20"/>
        </w:rPr>
        <w:t xml:space="preserve">Le contrat contient des placeholders non renseignés pour le Partenaire : [NOM COMMERCIAL], [FORME JURIDIQUE], [capital social], [adresse], IFU, RCCM, [1er responsable], [FONCTION]. Le contrat ne peut être signé en l’état.</w:t>
      </w:r>
    </w:p>
    <w:p>
      <w:pPr>
        <w:spacing w:after="100" w:before="260"/>
      </w:pPr>
      <w:r>
        <w:rPr>
          <w:rFonts w:ascii="Calibri" w:cs="Calibri" w:eastAsia="Calibri" w:hAnsi="Calibri"/>
          <w:b/>
          <w:bCs/>
          <w:color w:val="1A7A40"/>
          <w:sz w:val="24"/>
          <w:szCs w:val="24"/>
        </w:rPr>
        <w:t xml:space="preserve">Amendement proposé</w:t>
      </w:r>
    </w:p>
    <w:p>
      <w:pPr>
        <w:shd w:fill="D5F5E3" w:val="clear"/>
        <w:spacing w:after="120" w:before="60"/>
        <w:ind w:left="360"/>
      </w:pPr>
      <w:r>
        <w:rPr>
          <w:rFonts w:ascii="Calibri" w:cs="Calibri" w:eastAsia="Calibri" w:hAnsi="Calibri"/>
          <w:color w:val="1A7A40"/>
          <w:sz w:val="19"/>
          <w:szCs w:val="19"/>
        </w:rPr>
        <w:t xml:space="preserve">AfricaDev YC, [forme juridique] au capital de [montant] FCFA, siège à [adresse], Ouagadougou, IFU [XXX], RCCM [XXX], représentée par [NOM], [FONCTION]. Ci-après dénommée « Le Partenaire ».</w:t>
      </w:r>
    </w:p>
    <w:p>
      <w:pPr>
        <w:spacing w:after="0" w:before="120"/>
      </w:pPr>
    </w:p>
    <w:p>
      <w:pPr>
        <w:pBdr>
          <w:left w:val="single" w:color="1A7A40" w:sz="12" w:space="8"/>
        </w:pBdr>
        <w:spacing w:after="80" w:before="240"/>
      </w:pPr>
      <w:r>
        <w:rPr>
          <w:rFonts w:ascii="Calibri" w:cs="Calibri" w:eastAsia="Calibri" w:hAnsi="Calibri"/>
          <w:b/>
          <w:bCs/>
          <w:color w:val="1A5276"/>
          <w:sz w:val="24"/>
          <w:szCs w:val="24"/>
        </w:rPr>
        <w:t xml:space="preserve">Article 1 — Objet du contrat   </w:t>
      </w:r>
      <w:r>
        <w:rPr>
          <w:rFonts w:ascii="Calibri" w:cs="Calibri" w:eastAsia="Calibri" w:hAnsi="Calibri"/>
          <w:b/>
          <w:bCs/>
          <w:color w:val="1A7A40"/>
          <w:sz w:val="20"/>
          <w:szCs w:val="20"/>
        </w:rPr>
        <w:t xml:space="preserve">[MODÉRÉ]</w:t>
      </w:r>
    </w:p>
    <w:p>
      <w:pPr>
        <w:spacing w:after="100" w:before="60"/>
      </w:pPr>
      <w:r>
        <w:rPr>
          <w:rFonts w:ascii="Calibri" w:cs="Calibri" w:eastAsia="Calibri" w:hAnsi="Calibri"/>
          <w:sz w:val="20"/>
          <w:szCs w:val="20"/>
        </w:rPr>
        <w:t xml:space="preserve">L’objet est correct mais manque de précision sur les délais de traitement des transactions, les pays couverts et les plafonds applicables.</w:t>
      </w:r>
    </w:p>
    <w:p>
      <w:pPr>
        <w:spacing w:after="100" w:before="260"/>
      </w:pPr>
      <w:r>
        <w:rPr>
          <w:rFonts w:ascii="Calibri" w:cs="Calibri" w:eastAsia="Calibri" w:hAnsi="Calibri"/>
          <w:b/>
          <w:bCs/>
          <w:color w:val="1A7A40"/>
          <w:sz w:val="24"/>
          <w:szCs w:val="24"/>
        </w:rPr>
        <w:t xml:space="preserve">Amendement proposé</w:t>
      </w:r>
    </w:p>
    <w:p>
      <w:pPr>
        <w:shd w:fill="D5F5E3" w:val="clear"/>
        <w:spacing w:after="120" w:before="60"/>
        <w:ind w:left="360"/>
      </w:pPr>
      <w:r>
        <w:rPr>
          <w:rFonts w:ascii="Calibri" w:cs="Calibri" w:eastAsia="Calibri" w:hAnsi="Calibri"/>
          <w:color w:val="1A7A40"/>
          <w:sz w:val="19"/>
          <w:szCs w:val="19"/>
        </w:rPr>
        <w:t xml:space="preserve">Ajouter aux définitions : (a) liste des pays couverts ; (b) plafonds de transaction par utilisateur / par journée ; (c) délais de traitement : PAYIN crédité sous 5 minutes, PAYOUT exécuté sous 24 heures ouvrables.</w:t>
      </w:r>
    </w:p>
    <w:p>
      <w:pPr>
        <w:spacing w:after="0" w:before="120"/>
      </w:pPr>
    </w:p>
    <w:p>
      <w:pPr>
        <w:pBdr>
          <w:left w:val="single" w:color="A04000" w:sz="12" w:space="8"/>
        </w:pBdr>
        <w:spacing w:after="80" w:before="240"/>
      </w:pPr>
      <w:r>
        <w:rPr>
          <w:rFonts w:ascii="Calibri" w:cs="Calibri" w:eastAsia="Calibri" w:hAnsi="Calibri"/>
          <w:b/>
          <w:bCs/>
          <w:color w:val="1A5276"/>
          <w:sz w:val="24"/>
          <w:szCs w:val="24"/>
        </w:rPr>
        <w:t xml:space="preserve">Article 2 — Engagements du Partenaire   </w:t>
      </w:r>
      <w:r>
        <w:rPr>
          <w:rFonts w:ascii="Calibri" w:cs="Calibri" w:eastAsia="Calibri" w:hAnsi="Calibri"/>
          <w:b/>
          <w:bCs/>
          <w:color w:val="A04000"/>
          <w:sz w:val="20"/>
          <w:szCs w:val="20"/>
        </w:rPr>
        <w:t xml:space="preserve">[IMPORTANT]</w:t>
      </w:r>
    </w:p>
    <w:p>
      <w:pPr>
        <w:spacing w:after="100" w:before="60"/>
      </w:pPr>
      <w:r>
        <w:rPr>
          <w:rFonts w:ascii="Calibri" w:cs="Calibri" w:eastAsia="Calibri" w:hAnsi="Calibri"/>
          <w:sz w:val="20"/>
          <w:szCs w:val="20"/>
        </w:rPr>
        <w:t xml:space="preserve">Les obligations sont détaillées mais le contrat ne précise pas dans quel délai KREEZUS active le compte après réception des documents KYC. AfricaDev pourrait rester bloqué indéfiniment.</w:t>
      </w:r>
    </w:p>
    <w:p>
      <w:pPr>
        <w:spacing w:after="100" w:before="260"/>
      </w:pPr>
      <w:r>
        <w:rPr>
          <w:rFonts w:ascii="Calibri" w:cs="Calibri" w:eastAsia="Calibri" w:hAnsi="Calibri"/>
          <w:b/>
          <w:bCs/>
          <w:color w:val="1A7A40"/>
          <w:sz w:val="24"/>
          <w:szCs w:val="24"/>
        </w:rPr>
        <w:t xml:space="preserve">Amendement proposé</w:t>
      </w:r>
    </w:p>
    <w:p>
      <w:pPr>
        <w:shd w:fill="D5F5E3" w:val="clear"/>
        <w:spacing w:after="120" w:before="60"/>
        <w:ind w:left="360"/>
      </w:pPr>
      <w:r>
        <w:rPr>
          <w:rFonts w:ascii="Calibri" w:cs="Calibri" w:eastAsia="Calibri" w:hAnsi="Calibri"/>
          <w:color w:val="1A7A40"/>
          <w:sz w:val="19"/>
          <w:szCs w:val="19"/>
        </w:rPr>
        <w:t xml:space="preserve">Ajouter art. 2.5 : « KREEZUS s’engage à activer le compte du Partenaire dans les 5 jours ouvrables suivant la réception des documents complets. Passé ce délai, le Partenaire peut résilier sans pénalité. »</w:t>
      </w:r>
    </w:p>
    <w:p>
      <w:pPr>
        <w:spacing w:after="0" w:before="120"/>
      </w:pPr>
    </w:p>
    <w:p>
      <w:pPr>
        <w:pBdr>
          <w:left w:val="single" w:color="C0392B" w:sz="12" w:space="8"/>
        </w:pBdr>
        <w:spacing w:after="80" w:before="240"/>
      </w:pPr>
      <w:r>
        <w:rPr>
          <w:rFonts w:ascii="Calibri" w:cs="Calibri" w:eastAsia="Calibri" w:hAnsi="Calibri"/>
          <w:b/>
          <w:bCs/>
          <w:color w:val="1A5276"/>
          <w:sz w:val="24"/>
          <w:szCs w:val="24"/>
        </w:rPr>
        <w:t xml:space="preserve">Article 3 — Engagements de KREEZUS   </w:t>
      </w:r>
      <w:r>
        <w:rPr>
          <w:rFonts w:ascii="Calibri" w:cs="Calibri" w:eastAsia="Calibri" w:hAnsi="Calibri"/>
          <w:b/>
          <w:bCs/>
          <w:color w:val="C0392B"/>
          <w:sz w:val="20"/>
          <w:szCs w:val="20"/>
        </w:rPr>
        <w:t xml:space="preserve">[CRITIQUE]</w:t>
      </w:r>
    </w:p>
    <w:p>
      <w:pPr>
        <w:spacing w:after="100" w:before="60"/>
      </w:pPr>
      <w:r>
        <w:rPr>
          <w:rFonts w:ascii="Calibri" w:cs="Calibri" w:eastAsia="Calibri" w:hAnsi="Calibri"/>
          <w:sz w:val="20"/>
          <w:szCs w:val="20"/>
        </w:rPr>
        <w:t xml:space="preserve">Les engagements sont flous et inopposables : « assurer une assistance technique », « garantir la sécurité ». Aucun SLA, aucun délai de réponse, aucune disponibilité minimum. Inacceptable pour une plateforme d’encaissement en temps réel.</w:t>
      </w:r>
    </w:p>
    <w:p>
      <w:pPr>
        <w:spacing w:after="100" w:before="260"/>
      </w:pPr>
      <w:r>
        <w:rPr>
          <w:rFonts w:ascii="Calibri" w:cs="Calibri" w:eastAsia="Calibri" w:hAnsi="Calibri"/>
          <w:b/>
          <w:bCs/>
          <w:color w:val="1A7A40"/>
          <w:sz w:val="24"/>
          <w:szCs w:val="24"/>
        </w:rPr>
        <w:t xml:space="preserve">Amendement proposé</w:t>
      </w:r>
    </w:p>
    <w:p>
      <w:pPr>
        <w:shd w:fill="D5F5E3" w:val="clear"/>
        <w:spacing w:after="120" w:before="60"/>
        <w:ind w:left="360"/>
      </w:pPr>
      <w:r>
        <w:rPr>
          <w:rFonts w:ascii="Calibri" w:cs="Calibri" w:eastAsia="Calibri" w:hAnsi="Calibri"/>
          <w:color w:val="1A7A40"/>
          <w:sz w:val="19"/>
          <w:szCs w:val="19"/>
        </w:rPr>
        <w:t xml:space="preserve">Remplacer art. 3 : disponibilité ≥ 99,5% / mois (hors maintenance programmée notifiée 48h avant) ; réponse aux incidents bloquants &lt; 4h ouvrables ; communication des incidents sous 30 minutes ; rapport mensuel de disponibilité ; pénalité de 0,5% des frais mensuels par tranche de 0,1% de disponibilité manquante.</w:t>
      </w:r>
    </w:p>
    <w:p>
      <w:r>
        <w:br w:type="page"/>
      </w:r>
    </w:p>
    <w:p>
      <w:pPr>
        <w:pBdr>
          <w:left w:val="single" w:color="C0392B" w:sz="12" w:space="8"/>
        </w:pBdr>
        <w:spacing w:after="80" w:before="240"/>
      </w:pPr>
      <w:r>
        <w:rPr>
          <w:rFonts w:ascii="Calibri" w:cs="Calibri" w:eastAsia="Calibri" w:hAnsi="Calibri"/>
          <w:b/>
          <w:bCs/>
          <w:color w:val="1A5276"/>
          <w:sz w:val="24"/>
          <w:szCs w:val="24"/>
        </w:rPr>
        <w:t xml:space="preserve">Article 4 — Conditions financières   </w:t>
      </w:r>
      <w:r>
        <w:rPr>
          <w:rFonts w:ascii="Calibri" w:cs="Calibri" w:eastAsia="Calibri" w:hAnsi="Calibri"/>
          <w:b/>
          <w:bCs/>
          <w:color w:val="C0392B"/>
          <w:sz w:val="20"/>
          <w:szCs w:val="20"/>
        </w:rPr>
        <w:t xml:space="preserve">[CRITIQUE]</w:t>
      </w:r>
    </w:p>
    <w:p>
      <w:pPr>
        <w:spacing w:after="100" w:before="60"/>
      </w:pPr>
      <w:r>
        <w:rPr>
          <w:rFonts w:ascii="Calibri" w:cs="Calibri" w:eastAsia="Calibri" w:hAnsi="Calibri"/>
          <w:sz w:val="20"/>
          <w:szCs w:val="20"/>
        </w:rPr>
        <w:t xml:space="preserve">Les taux PAYIN 2,5% et PAYOUT 1,5% sont transparents. MAIS le contrat ne précise pas le délai de reversement des fonds collectés vers AfricaDev. Sans ce délai, KREEZUS pourrait conserver les fonds indéfiniment. C’est le risque financier le plus immédiat.</w:t>
      </w:r>
    </w:p>
    <w:p>
      <w:pPr>
        <w:spacing w:after="100" w:before="260"/>
      </w:pPr>
      <w:r>
        <w:rPr>
          <w:rFonts w:ascii="Calibri" w:cs="Calibri" w:eastAsia="Calibri" w:hAnsi="Calibri"/>
          <w:b/>
          <w:bCs/>
          <w:color w:val="C0392B"/>
          <w:sz w:val="24"/>
          <w:szCs w:val="24"/>
        </w:rPr>
        <w:t xml:space="preserve">Texte actuel à supprimer</w:t>
      </w:r>
    </w:p>
    <w:p>
      <w:pPr>
        <w:shd w:fill="FADBD8" w:val="clear"/>
        <w:spacing w:after="100" w:before="60"/>
        <w:ind w:left="360"/>
      </w:pPr>
      <w:r>
        <w:rPr>
          <w:rFonts w:ascii="Calibri" w:cs="Calibri" w:eastAsia="Calibri" w:hAnsi="Calibri"/>
          <w:i/>
          <w:iCs/>
          <w:color w:val="C0392B"/>
          <w:sz w:val="19"/>
          <w:szCs w:val="19"/>
        </w:rPr>
        <w:t xml:space="preserve">"Les modalités de paiement seront convenues entre les parties et devront être respectées scrupuleusement."</w:t>
      </w:r>
    </w:p>
    <w:p>
      <w:pPr>
        <w:spacing w:after="100" w:before="260"/>
      </w:pPr>
      <w:r>
        <w:rPr>
          <w:rFonts w:ascii="Calibri" w:cs="Calibri" w:eastAsia="Calibri" w:hAnsi="Calibri"/>
          <w:b/>
          <w:bCs/>
          <w:color w:val="1A7A40"/>
          <w:sz w:val="24"/>
          <w:szCs w:val="24"/>
        </w:rPr>
        <w:t xml:space="preserve">Amendement proposé</w:t>
      </w:r>
    </w:p>
    <w:p>
      <w:pPr>
        <w:shd w:fill="D5F5E3" w:val="clear"/>
        <w:spacing w:after="120" w:before="60"/>
        <w:ind w:left="360"/>
      </w:pPr>
      <w:r>
        <w:rPr>
          <w:rFonts w:ascii="Calibri" w:cs="Calibri" w:eastAsia="Calibri" w:hAnsi="Calibri"/>
          <w:color w:val="1A7A40"/>
          <w:sz w:val="19"/>
          <w:szCs w:val="19"/>
        </w:rPr>
        <w:t xml:space="preserve">Les fonds PAYIN seront reversés, net des commissions, dans les 2 jours ouvrables suivant la créditation du compte marchand. Relevé de compte hebdomadaire. Les frais bancaires CASHOUT sont ceux de la banque du Partenaire, sans majoration ; KREEZUS les communique avant exécution.</w:t>
      </w:r>
    </w:p>
    <w:p>
      <w:pPr>
        <w:spacing w:after="0" w:before="120"/>
      </w:pPr>
    </w:p>
    <w:p>
      <w:pPr>
        <w:pBdr>
          <w:left w:val="single" w:color="C0392B" w:sz="12" w:space="8"/>
        </w:pBdr>
        <w:spacing w:after="80" w:before="240"/>
      </w:pPr>
      <w:r>
        <w:rPr>
          <w:rFonts w:ascii="Calibri" w:cs="Calibri" w:eastAsia="Calibri" w:hAnsi="Calibri"/>
          <w:b/>
          <w:bCs/>
          <w:color w:val="1A5276"/>
          <w:sz w:val="24"/>
          <w:szCs w:val="24"/>
        </w:rPr>
        <w:t xml:space="preserve">Article 5 — Durée et Résiliation   </w:t>
      </w:r>
      <w:r>
        <w:rPr>
          <w:rFonts w:ascii="Calibri" w:cs="Calibri" w:eastAsia="Calibri" w:hAnsi="Calibri"/>
          <w:b/>
          <w:bCs/>
          <w:color w:val="C0392B"/>
          <w:sz w:val="20"/>
          <w:szCs w:val="20"/>
        </w:rPr>
        <w:t xml:space="preserve">[CRITIQUE]</w:t>
      </w:r>
    </w:p>
    <w:p>
      <w:pPr>
        <w:spacing w:after="100" w:before="60"/>
      </w:pPr>
      <w:r>
        <w:rPr>
          <w:rFonts w:ascii="Calibri" w:cs="Calibri" w:eastAsia="Calibri" w:hAnsi="Calibri"/>
          <w:sz w:val="20"/>
          <w:szCs w:val="20"/>
        </w:rPr>
        <w:t xml:space="preserve">Deux problèmes : (1) Préavis de 15 jours insuffisant pour migrer vers un autre PSP — il faut au minimum 30 à 60 jours. (2) « Cessation immédiate » est contradictoire avec le préavis. Aucune disposition sur le sort des fonds en transit lors de la résiliation.</w:t>
      </w:r>
    </w:p>
    <w:p>
      <w:pPr>
        <w:spacing w:after="100" w:before="260"/>
      </w:pPr>
      <w:r>
        <w:rPr>
          <w:rFonts w:ascii="Calibri" w:cs="Calibri" w:eastAsia="Calibri" w:hAnsi="Calibri"/>
          <w:b/>
          <w:bCs/>
          <w:color w:val="C0392B"/>
          <w:sz w:val="24"/>
          <w:szCs w:val="24"/>
        </w:rPr>
        <w:t xml:space="preserve">Texte actuel à modifier</w:t>
      </w:r>
    </w:p>
    <w:p>
      <w:pPr>
        <w:shd w:fill="FADBD8" w:val="clear"/>
        <w:spacing w:after="100" w:before="60"/>
        <w:ind w:left="360"/>
      </w:pPr>
      <w:r>
        <w:rPr>
          <w:rFonts w:ascii="Calibri" w:cs="Calibri" w:eastAsia="Calibri" w:hAnsi="Calibri"/>
          <w:i/>
          <w:iCs/>
          <w:color w:val="C0392B"/>
          <w:sz w:val="19"/>
          <w:szCs w:val="19"/>
        </w:rPr>
        <w:t xml:space="preserve">"un préavis écrit de 15 jours" + "cessera immédiatement d’utiliser les services"</w:t>
      </w:r>
    </w:p>
    <w:p>
      <w:pPr>
        <w:spacing w:after="100" w:before="260"/>
      </w:pPr>
      <w:r>
        <w:rPr>
          <w:rFonts w:ascii="Calibri" w:cs="Calibri" w:eastAsia="Calibri" w:hAnsi="Calibri"/>
          <w:b/>
          <w:bCs/>
          <w:color w:val="1A7A40"/>
          <w:sz w:val="24"/>
          <w:szCs w:val="24"/>
        </w:rPr>
        <w:t xml:space="preserve">Amendement proposé</w:t>
      </w:r>
    </w:p>
    <w:p>
      <w:pPr>
        <w:shd w:fill="D5F5E3" w:val="clear"/>
        <w:spacing w:after="120" w:before="60"/>
        <w:ind w:left="360"/>
      </w:pPr>
      <w:r>
        <w:rPr>
          <w:rFonts w:ascii="Calibri" w:cs="Calibri" w:eastAsia="Calibri" w:hAnsi="Calibri"/>
          <w:color w:val="1A7A40"/>
          <w:sz w:val="19"/>
          <w:szCs w:val="19"/>
        </w:rPr>
        <w:t xml:space="preserve">Préavis ordinaire : 60 jours. Préavis réduit à 15 jours uniquement pour faute grave / violation AML-CFT. Remplacer « immédiatement » par « à l’expiration du préavis ». Ajouter : dans les 5 jours ouvrables suivant la résiliation, KREEZUS restitue les fonds détenus, déduction faite des montants dus.</w:t>
      </w:r>
    </w:p>
    <w:p>
      <w:pPr>
        <w:spacing w:after="0" w:before="120"/>
      </w:pPr>
    </w:p>
    <w:p>
      <w:pPr>
        <w:pBdr>
          <w:left w:val="single" w:color="C0392B" w:sz="12" w:space="8"/>
        </w:pBdr>
        <w:spacing w:after="80" w:before="240"/>
      </w:pPr>
      <w:r>
        <w:rPr>
          <w:rFonts w:ascii="Calibri" w:cs="Calibri" w:eastAsia="Calibri" w:hAnsi="Calibri"/>
          <w:b/>
          <w:bCs/>
          <w:color w:val="1A5276"/>
          <w:sz w:val="24"/>
          <w:szCs w:val="24"/>
        </w:rPr>
        <w:t xml:space="preserve">Article 6 — Limitation de responsabilité   </w:t>
      </w:r>
      <w:r>
        <w:rPr>
          <w:rFonts w:ascii="Calibri" w:cs="Calibri" w:eastAsia="Calibri" w:hAnsi="Calibri"/>
          <w:b/>
          <w:bCs/>
          <w:color w:val="C0392B"/>
          <w:sz w:val="20"/>
          <w:szCs w:val="20"/>
        </w:rPr>
        <w:t xml:space="preserve">[CRITIQUE]</w:t>
      </w:r>
    </w:p>
    <w:p>
      <w:pPr>
        <w:spacing w:after="100" w:before="60"/>
      </w:pPr>
      <w:r>
        <w:rPr>
          <w:rFonts w:ascii="Calibri" w:cs="Calibri" w:eastAsia="Calibri" w:hAnsi="Calibri"/>
          <w:sz w:val="20"/>
          <w:szCs w:val="20"/>
        </w:rPr>
        <w:t xml:space="preserve">Exénération quasi-totale de KREEZUS. « Temporaire » n’est pas défini. La clause ne distingue pas les interruptions opérateurs des défaillances propres de KREEZUS. Une telle clause est potentiellement nulle en cas de faute lourde ou dol.</w:t>
      </w:r>
    </w:p>
    <w:p>
      <w:pPr>
        <w:spacing w:after="100" w:before="260"/>
      </w:pPr>
      <w:r>
        <w:rPr>
          <w:rFonts w:ascii="Calibri" w:cs="Calibri" w:eastAsia="Calibri" w:hAnsi="Calibri"/>
          <w:b/>
          <w:bCs/>
          <w:color w:val="C0392B"/>
          <w:sz w:val="24"/>
          <w:szCs w:val="24"/>
        </w:rPr>
        <w:t xml:space="preserve">Texte actuel à supprimer</w:t>
      </w:r>
    </w:p>
    <w:p>
      <w:pPr>
        <w:shd w:fill="FADBD8" w:val="clear"/>
        <w:spacing w:after="100" w:before="60"/>
        <w:ind w:left="360"/>
      </w:pPr>
      <w:r>
        <w:rPr>
          <w:rFonts w:ascii="Calibri" w:cs="Calibri" w:eastAsia="Calibri" w:hAnsi="Calibri"/>
          <w:i/>
          <w:iCs/>
          <w:color w:val="C0392B"/>
          <w:sz w:val="19"/>
          <w:szCs w:val="19"/>
        </w:rPr>
        <w:t xml:space="preserve">"KREEZUS ne saurait être tenu responsable des interruptions temporaires [...] Le Partenaire ne pourra prétendre à aucune indemnisation."</w:t>
      </w:r>
    </w:p>
    <w:p>
      <w:pPr>
        <w:spacing w:after="100" w:before="260"/>
      </w:pPr>
      <w:r>
        <w:rPr>
          <w:rFonts w:ascii="Calibri" w:cs="Calibri" w:eastAsia="Calibri" w:hAnsi="Calibri"/>
          <w:b/>
          <w:bCs/>
          <w:color w:val="1A7A40"/>
          <w:sz w:val="24"/>
          <w:szCs w:val="24"/>
        </w:rPr>
        <w:t xml:space="preserve">Amendement proposé</w:t>
      </w:r>
    </w:p>
    <w:p>
      <w:pPr>
        <w:shd w:fill="D5F5E3" w:val="clear"/>
        <w:spacing w:after="120" w:before="60"/>
        <w:ind w:left="360"/>
      </w:pPr>
      <w:r>
        <w:rPr>
          <w:rFonts w:ascii="Calibri" w:cs="Calibri" w:eastAsia="Calibri" w:hAnsi="Calibri"/>
          <w:color w:val="1A7A40"/>
          <w:sz w:val="19"/>
          <w:szCs w:val="19"/>
        </w:rPr>
        <w:t xml:space="preserve">KREEZUS n’est pas responsable des interruptions imputables exclusivement aux opérateurs ou à la force majeure (droit burkinèbe). En revanche, KREEZUS répond des dommages directs causés par sa propre négligence ou défaillance technique, plafonnés à 3 mois de commissions versées sur les 12 mois précédents.</w:t>
      </w:r>
    </w:p>
    <w:p>
      <w:r>
        <w:br w:type="page"/>
      </w:r>
    </w:p>
    <w:p>
      <w:pPr>
        <w:pBdr>
          <w:left w:val="single" w:color="C0392B" w:sz="12" w:space="8"/>
        </w:pBdr>
        <w:spacing w:after="80" w:before="240"/>
      </w:pPr>
      <w:r>
        <w:rPr>
          <w:rFonts w:ascii="Calibri" w:cs="Calibri" w:eastAsia="Calibri" w:hAnsi="Calibri"/>
          <w:b/>
          <w:bCs/>
          <w:color w:val="1A5276"/>
          <w:sz w:val="24"/>
          <w:szCs w:val="24"/>
        </w:rPr>
        <w:t xml:space="preserve">Article 7 — Modifications unilatérales   </w:t>
      </w:r>
      <w:r>
        <w:rPr>
          <w:rFonts w:ascii="Calibri" w:cs="Calibri" w:eastAsia="Calibri" w:hAnsi="Calibri"/>
          <w:b/>
          <w:bCs/>
          <w:color w:val="C0392B"/>
          <w:sz w:val="20"/>
          <w:szCs w:val="20"/>
        </w:rPr>
        <w:t xml:space="preserve">[CRITIQUE]</w:t>
      </w:r>
    </w:p>
    <w:p>
      <w:pPr>
        <w:spacing w:after="100" w:before="60"/>
      </w:pPr>
      <w:r>
        <w:rPr>
          <w:rFonts w:ascii="Calibri" w:cs="Calibri" w:eastAsia="Calibri" w:hAnsi="Calibri"/>
          <w:sz w:val="20"/>
          <w:szCs w:val="20"/>
        </w:rPr>
        <w:t xml:space="preserve">Clause la plus dangereuse : KREEZUS peut modifier « à tout moment » toutes les conditions, y compris les tarifs de l’art. 4, par simple e-mail/SMS sans délai ni droit de refus. Elle peut doubler ses taux du jour au lendemain. Contraire au principe d’équilibre contractuel.</w:t>
      </w:r>
    </w:p>
    <w:p>
      <w:pPr>
        <w:spacing w:after="100" w:before="260"/>
      </w:pPr>
      <w:r>
        <w:rPr>
          <w:rFonts w:ascii="Calibri" w:cs="Calibri" w:eastAsia="Calibri" w:hAnsi="Calibri"/>
          <w:b/>
          <w:bCs/>
          <w:color w:val="C0392B"/>
          <w:sz w:val="24"/>
          <w:szCs w:val="24"/>
        </w:rPr>
        <w:t xml:space="preserve">Texte actuel à supprimer</w:t>
      </w:r>
    </w:p>
    <w:p>
      <w:pPr>
        <w:shd w:fill="FADBD8" w:val="clear"/>
        <w:spacing w:after="100" w:before="60"/>
        <w:ind w:left="360"/>
      </w:pPr>
      <w:r>
        <w:rPr>
          <w:rFonts w:ascii="Calibri" w:cs="Calibri" w:eastAsia="Calibri" w:hAnsi="Calibri"/>
          <w:i/>
          <w:iCs/>
          <w:color w:val="C0392B"/>
          <w:sz w:val="19"/>
          <w:szCs w:val="19"/>
        </w:rPr>
        <w:t xml:space="preserve">"KREEZUS se réserve le droit de modifier à tout moment les présentes conditions d’utilisation. Toute modification sera notifiée par e-mail ou SMS au Partenaire."</w:t>
      </w:r>
    </w:p>
    <w:p>
      <w:pPr>
        <w:spacing w:after="100" w:before="260"/>
      </w:pPr>
      <w:r>
        <w:rPr>
          <w:rFonts w:ascii="Calibri" w:cs="Calibri" w:eastAsia="Calibri" w:hAnsi="Calibri"/>
          <w:b/>
          <w:bCs/>
          <w:color w:val="1A7A40"/>
          <w:sz w:val="24"/>
          <w:szCs w:val="24"/>
        </w:rPr>
        <w:t xml:space="preserve">Amendement proposé</w:t>
      </w:r>
    </w:p>
    <w:p>
      <w:pPr>
        <w:shd w:fill="D5F5E3" w:val="clear"/>
        <w:spacing w:after="120" w:before="60"/>
        <w:ind w:left="360"/>
      </w:pPr>
      <w:r>
        <w:rPr>
          <w:rFonts w:ascii="Calibri" w:cs="Calibri" w:eastAsia="Calibri" w:hAnsi="Calibri"/>
          <w:color w:val="1A7A40"/>
          <w:sz w:val="19"/>
          <w:szCs w:val="19"/>
        </w:rPr>
        <w:t xml:space="preserve">KREEZUS notifie par écrit (e-mail avec accusé) toute modification au moins 30 jours avant. En cas de modification substantielle (notamment tarifaire), le Partenaire dispose de 15 jours pour refuser et résilier sans pénalité. L’absence de réponse dans ce délai vaut acceptation.</w:t>
      </w:r>
    </w:p>
    <w:p>
      <w:pPr>
        <w:spacing w:after="0" w:before="120"/>
      </w:pPr>
    </w:p>
    <w:p>
      <w:pPr>
        <w:pBdr>
          <w:left w:val="single" w:color="A04000" w:sz="12" w:space="8"/>
        </w:pBdr>
        <w:spacing w:after="80" w:before="240"/>
      </w:pPr>
      <w:r>
        <w:rPr>
          <w:rFonts w:ascii="Calibri" w:cs="Calibri" w:eastAsia="Calibri" w:hAnsi="Calibri"/>
          <w:b/>
          <w:bCs/>
          <w:color w:val="1A5276"/>
          <w:sz w:val="24"/>
          <w:szCs w:val="24"/>
        </w:rPr>
        <w:t xml:space="preserve">Article 8 — Confidentialité   </w:t>
      </w:r>
      <w:r>
        <w:rPr>
          <w:rFonts w:ascii="Calibri" w:cs="Calibri" w:eastAsia="Calibri" w:hAnsi="Calibri"/>
          <w:b/>
          <w:bCs/>
          <w:color w:val="A04000"/>
          <w:sz w:val="20"/>
          <w:szCs w:val="20"/>
        </w:rPr>
        <w:t xml:space="preserve">[IMPORTANT]</w:t>
      </w:r>
    </w:p>
    <w:p>
      <w:pPr>
        <w:spacing w:after="100" w:before="60"/>
      </w:pPr>
      <w:r>
        <w:rPr>
          <w:rFonts w:ascii="Calibri" w:cs="Calibri" w:eastAsia="Calibri" w:hAnsi="Calibri"/>
          <w:sz w:val="20"/>
          <w:szCs w:val="20"/>
        </w:rPr>
        <w:t xml:space="preserve">La durée post-résiliation de 2 ans est insuffisante pour des informations techniques et commerciales sensibles. Aucune sanction n’est prévue : clause sans valeur dissuasive.</w:t>
      </w:r>
    </w:p>
    <w:p>
      <w:pPr>
        <w:spacing w:after="100" w:before="260"/>
      </w:pPr>
      <w:r>
        <w:rPr>
          <w:rFonts w:ascii="Calibri" w:cs="Calibri" w:eastAsia="Calibri" w:hAnsi="Calibri"/>
          <w:b/>
          <w:bCs/>
          <w:color w:val="1A7A40"/>
          <w:sz w:val="24"/>
          <w:szCs w:val="24"/>
        </w:rPr>
        <w:t xml:space="preserve">Amendement proposé</w:t>
      </w:r>
    </w:p>
    <w:p>
      <w:pPr>
        <w:shd w:fill="D5F5E3" w:val="clear"/>
        <w:spacing w:after="120" w:before="60"/>
        <w:ind w:left="360"/>
      </w:pPr>
      <w:r>
        <w:rPr>
          <w:rFonts w:ascii="Calibri" w:cs="Calibri" w:eastAsia="Calibri" w:hAnsi="Calibri"/>
          <w:color w:val="1A7A40"/>
          <w:sz w:val="19"/>
          <w:szCs w:val="19"/>
        </w:rPr>
        <w:t xml:space="preserve">Porter la durée post-résiliation à 5 ans. Ajouter clause pénale : 5 000 000 FCFA par incident avéré, sans préjudice des dommages-intérêts supplémentaires. Préciser que les clés API sont des informations confidentielles.</w:t>
      </w:r>
    </w:p>
    <w:p>
      <w:pPr>
        <w:spacing w:after="0" w:before="120"/>
      </w:pPr>
    </w:p>
    <w:p>
      <w:pPr>
        <w:pBdr>
          <w:left w:val="single" w:color="A04000" w:sz="12" w:space="8"/>
        </w:pBdr>
        <w:spacing w:after="80" w:before="240"/>
      </w:pPr>
      <w:r>
        <w:rPr>
          <w:rFonts w:ascii="Calibri" w:cs="Calibri" w:eastAsia="Calibri" w:hAnsi="Calibri"/>
          <w:b/>
          <w:bCs/>
          <w:color w:val="1A5276"/>
          <w:sz w:val="24"/>
          <w:szCs w:val="24"/>
        </w:rPr>
        <w:t xml:space="preserve">Article 9 — Propriété intellectuelle   </w:t>
      </w:r>
      <w:r>
        <w:rPr>
          <w:rFonts w:ascii="Calibri" w:cs="Calibri" w:eastAsia="Calibri" w:hAnsi="Calibri"/>
          <w:b/>
          <w:bCs/>
          <w:color w:val="A04000"/>
          <w:sz w:val="20"/>
          <w:szCs w:val="20"/>
        </w:rPr>
        <w:t xml:space="preserve">[IMPORTANT]</w:t>
      </w:r>
    </w:p>
    <w:p>
      <w:pPr>
        <w:spacing w:after="100" w:before="60"/>
      </w:pPr>
      <w:r>
        <w:rPr>
          <w:rFonts w:ascii="Calibri" w:cs="Calibri" w:eastAsia="Calibri" w:hAnsi="Calibri"/>
          <w:sz w:val="20"/>
          <w:szCs w:val="20"/>
        </w:rPr>
        <w:t xml:space="preserve">La propriété de KREEZUS est correctement rappelée mais la licence accordée au Partenaire pour intégrer l’API n’est pas définie, ce qui crée une insecurité juridique.</w:t>
      </w:r>
    </w:p>
    <w:p>
      <w:pPr>
        <w:spacing w:after="100" w:before="260"/>
      </w:pPr>
      <w:r>
        <w:rPr>
          <w:rFonts w:ascii="Calibri" w:cs="Calibri" w:eastAsia="Calibri" w:hAnsi="Calibri"/>
          <w:b/>
          <w:bCs/>
          <w:color w:val="1A7A40"/>
          <w:sz w:val="24"/>
          <w:szCs w:val="24"/>
        </w:rPr>
        <w:t xml:space="preserve">Amendement proposé</w:t>
      </w:r>
    </w:p>
    <w:p>
      <w:pPr>
        <w:shd w:fill="D5F5E3" w:val="clear"/>
        <w:spacing w:after="120" w:before="60"/>
        <w:ind w:left="360"/>
      </w:pPr>
      <w:r>
        <w:rPr>
          <w:rFonts w:ascii="Calibri" w:cs="Calibri" w:eastAsia="Calibri" w:hAnsi="Calibri"/>
          <w:color w:val="1A7A40"/>
          <w:sz w:val="19"/>
          <w:szCs w:val="19"/>
        </w:rPr>
        <w:t xml:space="preserve">Ajouter : KREEZUS accorde une licence non-exclusive, révocable, non-transférable pour accéder à l’API YengaPay et intégrer les services dans les applications du Partenaire, conformément à la documentation fournie. Cette licence prend fin de plein droit à la résiliation.</w:t>
      </w:r>
    </w:p>
    <w:p>
      <w:pPr>
        <w:spacing w:after="0" w:before="120"/>
      </w:pPr>
    </w:p>
    <w:p>
      <w:pPr>
        <w:pBdr>
          <w:left w:val="single" w:color="A04000" w:sz="12" w:space="8"/>
        </w:pBdr>
        <w:spacing w:after="80" w:before="240"/>
      </w:pPr>
      <w:r>
        <w:rPr>
          <w:rFonts w:ascii="Calibri" w:cs="Calibri" w:eastAsia="Calibri" w:hAnsi="Calibri"/>
          <w:b/>
          <w:bCs/>
          <w:color w:val="1A5276"/>
          <w:sz w:val="24"/>
          <w:szCs w:val="24"/>
        </w:rPr>
        <w:t xml:space="preserve">Article 10 — Litiges   </w:t>
      </w:r>
      <w:r>
        <w:rPr>
          <w:rFonts w:ascii="Calibri" w:cs="Calibri" w:eastAsia="Calibri" w:hAnsi="Calibri"/>
          <w:b/>
          <w:bCs/>
          <w:color w:val="A04000"/>
          <w:sz w:val="20"/>
          <w:szCs w:val="20"/>
        </w:rPr>
        <w:t xml:space="preserve">[IMPORTANT]</w:t>
      </w:r>
    </w:p>
    <w:p>
      <w:pPr>
        <w:spacing w:after="100" w:before="60"/>
      </w:pPr>
      <w:r>
        <w:rPr>
          <w:rFonts w:ascii="Calibri" w:cs="Calibri" w:eastAsia="Calibri" w:hAnsi="Calibri"/>
          <w:sz w:val="20"/>
          <w:szCs w:val="20"/>
        </w:rPr>
        <w:t xml:space="preserve">Juridiction de Ouagadougou acceptable, mais la loi applicable n’est pas mentionnée (droit burkinèbe ? OHADA ?). La médiation « amiable » n’est pas encadrée : sans délai ni tiers désigné, la mauvaise foi contourne cette étape.</w:t>
      </w:r>
    </w:p>
    <w:p>
      <w:pPr>
        <w:spacing w:after="100" w:before="260"/>
      </w:pPr>
      <w:r>
        <w:rPr>
          <w:rFonts w:ascii="Calibri" w:cs="Calibri" w:eastAsia="Calibri" w:hAnsi="Calibri"/>
          <w:b/>
          <w:bCs/>
          <w:color w:val="1A7A40"/>
          <w:sz w:val="24"/>
          <w:szCs w:val="24"/>
        </w:rPr>
        <w:t xml:space="preserve">Amendement proposé</w:t>
      </w:r>
    </w:p>
    <w:p>
      <w:pPr>
        <w:shd w:fill="D5F5E3" w:val="clear"/>
        <w:spacing w:after="120" w:before="60"/>
        <w:ind w:left="360"/>
      </w:pPr>
      <w:r>
        <w:rPr>
          <w:rFonts w:ascii="Calibri" w:cs="Calibri" w:eastAsia="Calibri" w:hAnsi="Calibri"/>
          <w:color w:val="1A7A40"/>
          <w:sz w:val="19"/>
          <w:szCs w:val="19"/>
        </w:rPr>
        <w:t xml:space="preserve">Remplacer : « Le présent contrat est régi par la loi burkinèbe et, subsidiairement, par les actes uniformes OHADA. En cas de litige, les parties soumettront le différend à la médiation du CAM-CO (Centre d’Arbitrage, de Médiation et de Conciliation de Ouagadougou) dans les 30 jours suivant la notification. À défaut d’accord, le tribunal compétent de Ouagadougou sera seul compétent. »</w:t>
      </w:r>
    </w:p>
    <w:p>
      <w:r>
        <w:br w:type="page"/>
      </w:r>
    </w:p>
    <w:p>
      <w:pPr>
        <w:pStyle w:val="Heading1"/>
        <w:pBdr>
          <w:bottom w:val="single" w:color="0E7C66" w:sz="4" w:space="4"/>
        </w:pBdr>
        <w:spacing w:after="200" w:before="400"/>
      </w:pPr>
      <w:r>
        <w:rPr>
          <w:rFonts w:ascii="Calibri" w:cs="Calibri" w:eastAsia="Calibri" w:hAnsi="Calibri"/>
          <w:b/>
          <w:bCs/>
          <w:color w:val="1A5276"/>
          <w:sz w:val="32"/>
          <w:szCs w:val="32"/>
        </w:rPr>
        <w:t xml:space="preserve">III. CLAUSES MANQUANTES À INSÉRER</w:t>
      </w:r>
    </w:p>
    <w:p>
      <w:pPr>
        <w:spacing w:after="100" w:before="260"/>
      </w:pPr>
      <w:r>
        <w:rPr>
          <w:rFonts w:ascii="Calibri" w:cs="Calibri" w:eastAsia="Calibri" w:hAnsi="Calibri"/>
          <w:b/>
          <w:bCs/>
          <w:color w:val="1A5276"/>
          <w:sz w:val="24"/>
          <w:szCs w:val="24"/>
        </w:rPr>
        <w:t xml:space="preserve">Article 11 (nouveau) — Protection des données personnelles</w:t>
      </w:r>
    </w:p>
    <w:p>
      <w:pPr>
        <w:shd w:fill="D5F5E3" w:val="clear"/>
        <w:spacing w:after="120" w:before="60"/>
        <w:ind w:left="360"/>
      </w:pPr>
      <w:r>
        <w:rPr>
          <w:rFonts w:ascii="Calibri" w:cs="Calibri" w:eastAsia="Calibri" w:hAnsi="Calibri"/>
          <w:color w:val="1A7A40"/>
          <w:sz w:val="19"/>
          <w:szCs w:val="19"/>
        </w:rPr>
        <w:t xml:space="preserve">Dans le cadre de l’exécution du présent contrat, chaque partie traite des données à caractère personnel conformément à la loi n° 001-2021/AN relative à la protection des données personnelles au Burkina Faso et aux recommandations de l’APDP-BF. KREEZUS s’engage à : (a) traiter les données des utilisateurs finaux uniquement aux fins d’exécution des transactions de paiement ; (b) ne pas les céder à des tiers sans consentement préalable ; (c) appliquer des mesures techniques conformément à l’état de l’art ; (d) notifier le Partenaire de toute violation de données dans les 72 heures. Le Partenaire s’engage à ne transmettre que les données strictement nécessaires.</w:t>
      </w:r>
    </w:p>
    <w:p>
      <w:pPr>
        <w:spacing w:after="0" w:before="120"/>
      </w:pPr>
    </w:p>
    <w:p>
      <w:pPr>
        <w:spacing w:after="100" w:before="260"/>
      </w:pPr>
      <w:r>
        <w:rPr>
          <w:rFonts w:ascii="Calibri" w:cs="Calibri" w:eastAsia="Calibri" w:hAnsi="Calibri"/>
          <w:b/>
          <w:bCs/>
          <w:color w:val="1A5276"/>
          <w:sz w:val="24"/>
          <w:szCs w:val="24"/>
        </w:rPr>
        <w:t xml:space="preserve">Article 12 (nouveau) — Gestion des incidents, fraudes et contestations</w:t>
      </w:r>
    </w:p>
    <w:p>
      <w:pPr>
        <w:shd w:fill="D5F5E3" w:val="clear"/>
        <w:spacing w:after="120" w:before="60"/>
        <w:ind w:left="360"/>
      </w:pPr>
      <w:r>
        <w:rPr>
          <w:rFonts w:ascii="Calibri" w:cs="Calibri" w:eastAsia="Calibri" w:hAnsi="Calibri"/>
          <w:color w:val="1A7A40"/>
          <w:sz w:val="19"/>
          <w:szCs w:val="19"/>
        </w:rPr>
        <w:t xml:space="preserve">En cas de transaction frauduleuse imputable à un dysfonctionnement technique de YengaPay, KREEZUS remboursera le montant intégral dans les 5 jours ouvrables. En cas de contestation, les parties instruiront la demande en 10 jours ouvrables et fourniront l’intégralité des logs. KREEZUS ne peut suspendre le compte du Partenaire sans préavis écrit de 48 heures, sauf suspicion avérée de fraude ou violation grave des obligations AML/CFT.</w:t>
      </w:r>
    </w:p>
    <w:p>
      <w:r>
        <w:br w:type="page"/>
      </w:r>
    </w:p>
    <w:p>
      <w:pPr>
        <w:pStyle w:val="Heading1"/>
        <w:pBdr>
          <w:bottom w:val="single" w:color="0E7C66" w:sz="4" w:space="4"/>
        </w:pBdr>
        <w:spacing w:after="200" w:before="400"/>
      </w:pPr>
      <w:r>
        <w:rPr>
          <w:rFonts w:ascii="Calibri" w:cs="Calibri" w:eastAsia="Calibri" w:hAnsi="Calibri"/>
          <w:b/>
          <w:bCs/>
          <w:color w:val="1A5276"/>
          <w:sz w:val="32"/>
          <w:szCs w:val="32"/>
        </w:rPr>
        <w:t xml:space="preserve">IV. STRATÉGIE DE NÉGOCIATION</w:t>
      </w:r>
    </w:p>
    <w:p>
      <w:pPr>
        <w:spacing w:after="100" w:before="60"/>
      </w:pPr>
      <w:r>
        <w:rPr>
          <w:rFonts w:ascii="Calibri" w:cs="Calibri" w:eastAsia="Calibri" w:hAnsi="Calibri"/>
          <w:sz w:val="20"/>
          <w:szCs w:val="20"/>
        </w:rPr>
        <w:t xml:space="preserve">Les 6 points ci-dessous sont non-négociables pour AfricaDev YC et doivent être obtenus avant signature.</w:t>
      </w:r>
    </w:p>
    <w:p>
      <w:pPr>
        <w:spacing w:after="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
        <w:gridCol w:w="2300"/>
        <w:gridCol w:w="6426"/>
      </w:tblGrid>
      <w:tr>
        <w:trPr>
          <w:tblHeader/>
        </w:trPr>
        <w:tc>
          <w:tcPr>
            <w:tcW w:type="dxa" w:w="300"/>
            <w:tcBorders>
              <w:top w:val="single" w:color="AAAAAA" w:sz="1"/>
              <w:left w:val="single" w:color="AAAAAA" w:sz="1"/>
              <w:bottom w:val="single" w:color="AAAAAA" w:sz="1"/>
              <w:right w:val="single" w:color="AAAAAA" w:sz="1"/>
            </w:tcBorders>
            <w:shd w:fill="1A5276" w:val="clear"/>
            <w:tcMar>
              <w:top w:type="dxa" w:w="80"/>
              <w:left w:type="dxa" w:w="120"/>
              <w:bottom w:type="dxa" w:w="80"/>
              <w:right w:type="dxa" w:w="120"/>
            </w:tcMar>
          </w:tcPr>
          <w:p>
            <w:r>
              <w:rPr>
                <w:rFonts w:ascii="Calibri" w:cs="Calibri" w:eastAsia="Calibri" w:hAnsi="Calibri"/>
                <w:b/>
                <w:bCs/>
                <w:color w:val="FFFFFF"/>
                <w:sz w:val="18"/>
                <w:szCs w:val="18"/>
              </w:rPr>
              <w:t xml:space="preserve">#</w:t>
            </w:r>
          </w:p>
        </w:tc>
        <w:tc>
          <w:tcPr>
            <w:tcW w:type="dxa" w:w="2300"/>
            <w:tcBorders>
              <w:top w:val="single" w:color="AAAAAA" w:sz="1"/>
              <w:left w:val="single" w:color="AAAAAA" w:sz="1"/>
              <w:bottom w:val="single" w:color="AAAAAA" w:sz="1"/>
              <w:right w:val="single" w:color="AAAAAA" w:sz="1"/>
            </w:tcBorders>
            <w:shd w:fill="1A5276" w:val="clear"/>
            <w:tcMar>
              <w:top w:type="dxa" w:w="80"/>
              <w:left w:type="dxa" w:w="120"/>
              <w:bottom w:type="dxa" w:w="80"/>
              <w:right w:type="dxa" w:w="120"/>
            </w:tcMar>
          </w:tcPr>
          <w:p>
            <w:r>
              <w:rPr>
                <w:rFonts w:ascii="Calibri" w:cs="Calibri" w:eastAsia="Calibri" w:hAnsi="Calibri"/>
                <w:b/>
                <w:bCs/>
                <w:color w:val="FFFFFF"/>
                <w:sz w:val="18"/>
                <w:szCs w:val="18"/>
              </w:rPr>
              <w:t xml:space="preserve">Point</w:t>
            </w:r>
          </w:p>
        </w:tc>
        <w:tc>
          <w:tcPr>
            <w:tcW w:type="dxa" w:w="6426"/>
            <w:tcBorders>
              <w:top w:val="single" w:color="AAAAAA" w:sz="1"/>
              <w:left w:val="single" w:color="AAAAAA" w:sz="1"/>
              <w:bottom w:val="single" w:color="AAAAAA" w:sz="1"/>
              <w:right w:val="single" w:color="AAAAAA" w:sz="1"/>
            </w:tcBorders>
            <w:shd w:fill="1A5276" w:val="clear"/>
            <w:tcMar>
              <w:top w:type="dxa" w:w="80"/>
              <w:left w:type="dxa" w:w="120"/>
              <w:bottom w:type="dxa" w:w="80"/>
              <w:right w:type="dxa" w:w="120"/>
            </w:tcMar>
          </w:tcPr>
          <w:p>
            <w:r>
              <w:rPr>
                <w:rFonts w:ascii="Calibri" w:cs="Calibri" w:eastAsia="Calibri" w:hAnsi="Calibri"/>
                <w:b/>
                <w:bCs/>
                <w:color w:val="FFFFFF"/>
                <w:sz w:val="18"/>
                <w:szCs w:val="18"/>
              </w:rPr>
              <w:t xml:space="preserve">Position d’ouverture AfricaDev</w:t>
            </w:r>
          </w:p>
        </w:tc>
      </w:tr>
      <w:tr>
        <w:tc>
          <w:tcPr>
            <w:tcW w:type="dxa" w:w="3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Calibri" w:cs="Calibri" w:eastAsia="Calibri" w:hAnsi="Calibri"/>
                <w:b/>
                <w:bCs/>
                <w:color w:val="1A5276"/>
                <w:sz w:val="18"/>
                <w:szCs w:val="18"/>
              </w:rPr>
              <w:t xml:space="preserve">1</w:t>
            </w:r>
          </w:p>
        </w:tc>
        <w:tc>
          <w:tcPr>
            <w:tcW w:type="dxa" w:w="23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Calibri" w:cs="Calibri" w:eastAsia="Calibri" w:hAnsi="Calibri"/>
                <w:b/>
                <w:bCs/>
                <w:color w:val="000000"/>
                <w:sz w:val="18"/>
                <w:szCs w:val="18"/>
              </w:rPr>
              <w:t xml:space="preserve">Délai de reversement (Art. 4)</w:t>
            </w:r>
          </w:p>
        </w:tc>
        <w:tc>
          <w:tcPr>
            <w:tcW w:type="dxa" w:w="6426"/>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Calibri" w:cs="Calibri" w:eastAsia="Calibri" w:hAnsi="Calibri"/>
                <w:b w:val="false"/>
                <w:bCs w:val="false"/>
                <w:color w:val="000000"/>
                <w:sz w:val="18"/>
                <w:szCs w:val="18"/>
              </w:rPr>
              <w:t xml:space="preserve">J+2 ouvrables maximum. Compromis acceptable : J+3. C’est la protection financiare fondamentale d’AfricaDev.</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1A5276"/>
                <w:sz w:val="18"/>
                <w:szCs w:val="18"/>
              </w:rPr>
              <w:t xml:space="preserve">2</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000000"/>
                <w:sz w:val="18"/>
                <w:szCs w:val="18"/>
              </w:rPr>
              <w:t xml:space="preserve">Préavis résiliation (Art. 5)</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18"/>
                <w:szCs w:val="18"/>
              </w:rPr>
              <w:t xml:space="preserve">60 jours minimum. En dessous de 30 jours, migration PSP impossible sans coupure de service.</w:t>
            </w:r>
          </w:p>
        </w:tc>
      </w:tr>
      <w:tr>
        <w:tc>
          <w:tcPr>
            <w:tcW w:type="dxa" w:w="3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Calibri" w:cs="Calibri" w:eastAsia="Calibri" w:hAnsi="Calibri"/>
                <w:b/>
                <w:bCs/>
                <w:color w:val="1A5276"/>
                <w:sz w:val="18"/>
                <w:szCs w:val="18"/>
              </w:rPr>
              <w:t xml:space="preserve">3</w:t>
            </w:r>
          </w:p>
        </w:tc>
        <w:tc>
          <w:tcPr>
            <w:tcW w:type="dxa" w:w="23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Calibri" w:cs="Calibri" w:eastAsia="Calibri" w:hAnsi="Calibri"/>
                <w:b/>
                <w:bCs/>
                <w:color w:val="000000"/>
                <w:sz w:val="18"/>
                <w:szCs w:val="18"/>
              </w:rPr>
              <w:t xml:space="preserve">Modification tarifaire (Art. 7)</w:t>
            </w:r>
          </w:p>
        </w:tc>
        <w:tc>
          <w:tcPr>
            <w:tcW w:type="dxa" w:w="6426"/>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Calibri" w:cs="Calibri" w:eastAsia="Calibri" w:hAnsi="Calibri"/>
                <w:b w:val="false"/>
                <w:bCs w:val="false"/>
                <w:color w:val="000000"/>
                <w:sz w:val="18"/>
                <w:szCs w:val="18"/>
              </w:rPr>
              <w:t xml:space="preserve">30 jours de préavis + droit de résiliation sans pénalité si refus des nouvelles conditions.</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1A5276"/>
                <w:sz w:val="18"/>
                <w:szCs w:val="18"/>
              </w:rPr>
              <w:t xml:space="preserve">4</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000000"/>
                <w:sz w:val="18"/>
                <w:szCs w:val="18"/>
              </w:rPr>
              <w:t xml:space="preserve">SLA 99,5% (Art. 3)</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18"/>
                <w:szCs w:val="18"/>
              </w:rPr>
              <w:t xml:space="preserve">Version minimum acceptable : 98% sans pénalité financière mais avec droit de résiliation si non atteint 2 mois consécutifs.</w:t>
            </w:r>
          </w:p>
        </w:tc>
      </w:tr>
      <w:tr>
        <w:tc>
          <w:tcPr>
            <w:tcW w:type="dxa" w:w="3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Calibri" w:cs="Calibri" w:eastAsia="Calibri" w:hAnsi="Calibri"/>
                <w:b/>
                <w:bCs/>
                <w:color w:val="1A5276"/>
                <w:sz w:val="18"/>
                <w:szCs w:val="18"/>
              </w:rPr>
              <w:t xml:space="preserve">5</w:t>
            </w:r>
          </w:p>
        </w:tc>
        <w:tc>
          <w:tcPr>
            <w:tcW w:type="dxa" w:w="23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Calibri" w:cs="Calibri" w:eastAsia="Calibri" w:hAnsi="Calibri"/>
                <w:b/>
                <w:bCs/>
                <w:color w:val="000000"/>
                <w:sz w:val="18"/>
                <w:szCs w:val="18"/>
              </w:rPr>
              <w:t xml:space="preserve">Plafond responsabilité (Art. 6)</w:t>
            </w:r>
          </w:p>
        </w:tc>
        <w:tc>
          <w:tcPr>
            <w:tcW w:type="dxa" w:w="6426"/>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Calibri" w:cs="Calibri" w:eastAsia="Calibri" w:hAnsi="Calibri"/>
                <w:b w:val="false"/>
                <w:bCs w:val="false"/>
                <w:color w:val="000000"/>
                <w:sz w:val="18"/>
                <w:szCs w:val="18"/>
              </w:rPr>
              <w:t xml:space="preserve">3 mois de commissions. Position de retrait acceptable : 1 mois. L’exénération totale actuelle est inacceptable.</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1A5276"/>
                <w:sz w:val="18"/>
                <w:szCs w:val="18"/>
              </w:rPr>
              <w:t xml:space="preserve">6</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000000"/>
                <w:sz w:val="18"/>
                <w:szCs w:val="18"/>
              </w:rPr>
              <w:t xml:space="preserve">Protection des données (Art. 11)</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18"/>
                <w:szCs w:val="18"/>
              </w:rPr>
              <w:t xml:space="preserve">Clause obligatoire au regard du droit burkinèbe. Non-négociable juridiquement.</w:t>
            </w:r>
          </w:p>
        </w:tc>
      </w:tr>
    </w:tbl>
    <w:p>
      <w:r>
        <w:br w:type="page"/>
      </w:r>
    </w:p>
    <w:p>
      <w:pPr>
        <w:pStyle w:val="Heading1"/>
        <w:pBdr>
          <w:bottom w:val="single" w:color="0E7C66" w:sz="4" w:space="4"/>
        </w:pBdr>
        <w:spacing w:after="200" w:before="400"/>
      </w:pPr>
      <w:r>
        <w:rPr>
          <w:rFonts w:ascii="Calibri" w:cs="Calibri" w:eastAsia="Calibri" w:hAnsi="Calibri"/>
          <w:b/>
          <w:bCs/>
          <w:color w:val="1A5276"/>
          <w:sz w:val="32"/>
          <w:szCs w:val="32"/>
        </w:rPr>
        <w:t xml:space="preserve">V. CONCLUSION</w:t>
      </w:r>
    </w:p>
    <w:p>
      <w:pPr>
        <w:spacing w:after="100" w:before="60"/>
      </w:pPr>
      <w:r>
        <w:rPr>
          <w:rFonts w:ascii="Calibri" w:cs="Calibri" w:eastAsia="Calibri" w:hAnsi="Calibri"/>
          <w:sz w:val="20"/>
          <w:szCs w:val="20"/>
        </w:rPr>
        <w:t xml:space="preserve">Le contrat YengaPay </w:t>
      </w:r>
      <w:r>
        <w:rPr>
          <w:rFonts w:ascii="Calibri" w:cs="Calibri" w:eastAsia="Calibri" w:hAnsi="Calibri"/>
          <w:b/>
          <w:bCs/>
          <w:color w:val="C0392B"/>
          <w:sz w:val="20"/>
          <w:szCs w:val="20"/>
        </w:rPr>
        <w:t xml:space="preserve">ne doit pas être signé en l’état</w:t>
      </w:r>
      <w:r>
        <w:rPr>
          <w:rFonts w:ascii="Calibri" w:cs="Calibri" w:eastAsia="Calibri" w:hAnsi="Calibri"/>
          <w:sz w:val="20"/>
          <w:szCs w:val="20"/>
        </w:rPr>
        <w:t xml:space="preserve">. La suite recommandée :</w:t>
      </w:r>
    </w:p>
    <w:p>
      <w:pPr>
        <w:spacing w:after="0" w:before="120"/>
      </w:pPr>
    </w:p>
    <w:p>
      <w:pPr>
        <w:pStyle w:val="ListParagraph"/>
        <w:numPr>
          <w:ilvl w:val="0"/>
          <w:numId w:val="2"/>
        </w:numPr>
        <w:spacing w:after="80" w:before="60"/>
      </w:pPr>
      <w:r>
        <w:rPr>
          <w:rFonts w:ascii="Calibri" w:cs="Calibri" w:eastAsia="Calibri" w:hAnsi="Calibri"/>
          <w:sz w:val="20"/>
          <w:szCs w:val="20"/>
        </w:rPr>
        <w:t xml:space="preserve">Transmettre la présente note à KREEZUS avec demande de négociation sur les 6 points prioritaires.</w:t>
      </w:r>
    </w:p>
    <w:p>
      <w:pPr>
        <w:pStyle w:val="ListParagraph"/>
        <w:numPr>
          <w:ilvl w:val="0"/>
          <w:numId w:val="2"/>
        </w:numPr>
        <w:spacing w:after="80" w:before="60"/>
      </w:pPr>
      <w:r>
        <w:rPr>
          <w:rFonts w:ascii="Calibri" w:cs="Calibri" w:eastAsia="Calibri" w:hAnsi="Calibri"/>
          <w:sz w:val="20"/>
          <w:szCs w:val="20"/>
        </w:rPr>
        <w:t xml:space="preserve">Fixer un délai de réponse de KREEZUS : 15 jours ouvrables.</w:t>
      </w:r>
    </w:p>
    <w:p>
      <w:pPr>
        <w:pStyle w:val="ListParagraph"/>
        <w:numPr>
          <w:ilvl w:val="0"/>
          <w:numId w:val="2"/>
        </w:numPr>
        <w:spacing w:after="80" w:before="60"/>
      </w:pPr>
      <w:r>
        <w:rPr>
          <w:rFonts w:ascii="Calibri" w:cs="Calibri" w:eastAsia="Calibri" w:hAnsi="Calibri"/>
          <w:sz w:val="20"/>
          <w:szCs w:val="20"/>
        </w:rPr>
        <w:t xml:space="preserve">En l’absence de réponse satisfaisante, évaluer les alternatives : FedaPay (déjà intégré), CinetPay, PSP UEMOA.</w:t>
      </w:r>
    </w:p>
    <w:p>
      <w:pPr>
        <w:pStyle w:val="ListParagraph"/>
        <w:numPr>
          <w:ilvl w:val="0"/>
          <w:numId w:val="2"/>
        </w:numPr>
        <w:spacing w:after="80" w:before="60"/>
      </w:pPr>
      <w:r>
        <w:rPr>
          <w:rFonts w:ascii="Calibri" w:cs="Calibri" w:eastAsia="Calibri" w:hAnsi="Calibri"/>
          <w:sz w:val="20"/>
          <w:szCs w:val="20"/>
        </w:rPr>
        <w:t xml:space="preserve">Une fois négocié, compléter les placeholders d’identité avec les données réelles d’AfricaDev YC avant signature en deux exemplaires.</w:t>
      </w:r>
    </w:p>
    <w:p>
      <w:pPr>
        <w:spacing w:after="0" w:before="120"/>
      </w:pPr>
    </w:p>
    <w:p>
      <w:pPr>
        <w:spacing w:after="0" w:before="120"/>
      </w:pPr>
    </w:p>
    <w:p>
      <w:pPr>
        <w:pBdr>
          <w:top w:val="single" w:color="CCCCCC" w:sz="2" w:space="8"/>
        </w:pBdr>
        <w:spacing w:after="40" w:before="200"/>
        <w:jc w:val="right"/>
      </w:pPr>
      <w:r>
        <w:rPr>
          <w:rFonts w:ascii="Calibri" w:cs="Calibri" w:eastAsia="Calibri" w:hAnsi="Calibri"/>
          <w:i/>
          <w:iCs/>
          <w:color w:val="555555"/>
          <w:sz w:val="18"/>
          <w:szCs w:val="18"/>
        </w:rPr>
        <w:t xml:space="preserve">Fait le 4 juillet 2026 — Note rédigée en qualité d’avocat conseil d’AfricaDev YC</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Calibri" w:cs="Calibri" w:eastAsia="Calibri" w:hAnsi="Calibri"/>
        <w:color w:val="555555"/>
        <w:sz w:val="16"/>
        <w:szCs w:val="16"/>
      </w:rPr>
      <w:t xml:space="preserve">Page </w:t>
    </w:r>
    <w:r>
      <w:rPr>
        <w:rFonts w:ascii="Calibri" w:cs="Calibri" w:eastAsia="Calibri" w:hAnsi="Calibri"/>
        <w:color w:val="555555"/>
        <w:sz w:val="16"/>
        <w:szCs w:val="16"/>
      </w:rPr>
      <w:fldChar w:fldCharType="begin"/>
      <w:instrText xml:space="preserve">PAGE</w:instrText>
      <w:fldChar w:fldCharType="separate"/>
      <w:fldChar w:fldCharType="end"/>
    </w:r>
    <w:r>
      <w:rPr>
        <w:rFonts w:ascii="Calibri" w:cs="Calibri" w:eastAsia="Calibri" w:hAnsi="Calibri"/>
        <w:color w:val="555555"/>
        <w:sz w:val="16"/>
        <w:szCs w:val="16"/>
      </w:rPr>
      <w:t xml:space="preserve"> | Confidentiel — AfricaDev YC</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E7C66" w:sz="4" w:space="4"/>
      </w:pBdr>
      <w:jc w:val="right"/>
    </w:pPr>
    <w:r>
      <w:rPr>
        <w:rFonts w:ascii="Calibri" w:cs="Calibri" w:eastAsia="Calibri" w:hAnsi="Calibri"/>
        <w:i/>
        <w:iCs/>
        <w:color w:val="555555"/>
        <w:sz w:val="16"/>
        <w:szCs w:val="16"/>
      </w:rPr>
      <w:t xml:space="preserve">AfricaDev YC — Note juridique confidentielle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1A5276"/>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2026-07-04T11:37:51.348Z</dcterms:created>
  <dcterms:modified xsi:type="dcterms:W3CDTF">2026-07-04T11:37:51.348Z</dcterms:modified>
</cp:coreProperties>
</file>

<file path=docProps/custom.xml><?xml version="1.0" encoding="utf-8"?>
<Properties xmlns="http://schemas.openxmlformats.org/officeDocument/2006/custom-properties" xmlns:vt="http://schemas.openxmlformats.org/officeDocument/2006/docPropsVTypes"/>
</file>