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494" w:type="dxa"/>
        <w:jc w:val="center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ayout w:type="fixed"/>
        <w:tblLook w:val="0000" w:firstRow="0" w:lastRow="0" w:firstColumn="0" w:lastColumn="0" w:noHBand="0" w:noVBand="0"/>
      </w:tblPr>
      <w:tblGrid>
        <w:gridCol w:w="9414"/>
        <w:gridCol w:w="1080"/>
      </w:tblGrid>
      <w:tr w:rsidR="00221498" w:rsidRPr="00221498" w:rsidTr="00682E4F">
        <w:trPr>
          <w:jc w:val="center"/>
        </w:trPr>
        <w:tc>
          <w:tcPr>
            <w:tcW w:w="9414" w:type="dxa"/>
            <w:vAlign w:val="center"/>
          </w:tcPr>
          <w:p w:rsidR="00221498" w:rsidRPr="00221498" w:rsidRDefault="00221498" w:rsidP="0022149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221498">
              <w:rPr>
                <w:rFonts w:ascii="Arial" w:eastAsia="Times New Roman" w:hAnsi="Arial" w:cs="Arial"/>
                <w:b/>
                <w:sz w:val="28"/>
                <w:szCs w:val="28"/>
                <w:lang w:val="en-GB"/>
              </w:rPr>
              <w:t xml:space="preserve">Fasset Learnerships: </w:t>
            </w:r>
            <w:r>
              <w:rPr>
                <w:rFonts w:ascii="Helvetica-Bold" w:hAnsi="Helvetica-Bold" w:cs="Helvetica-Bold"/>
                <w:b/>
                <w:bCs/>
                <w:color w:val="000000"/>
                <w:sz w:val="28"/>
                <w:szCs w:val="28"/>
              </w:rPr>
              <w:t>National Diploma: Management Accounting</w:t>
            </w:r>
          </w:p>
          <w:p w:rsidR="00221498" w:rsidRPr="00221498" w:rsidRDefault="00221498" w:rsidP="00221498">
            <w:pPr>
              <w:spacing w:after="0" w:line="240" w:lineRule="auto"/>
              <w:ind w:left="720" w:hanging="720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val="en-GB"/>
              </w:rPr>
            </w:pPr>
          </w:p>
        </w:tc>
        <w:tc>
          <w:tcPr>
            <w:tcW w:w="1080" w:type="dxa"/>
            <w:vAlign w:val="center"/>
          </w:tcPr>
          <w:p w:rsidR="00221498" w:rsidRPr="00221498" w:rsidRDefault="00221498" w:rsidP="0022149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sz w:val="20"/>
                <w:szCs w:val="18"/>
                <w:lang w:val="en-GB"/>
              </w:rPr>
            </w:pPr>
            <w:r w:rsidRPr="00221498">
              <w:rPr>
                <w:rFonts w:ascii="Arial" w:eastAsia="Times New Roman" w:hAnsi="Arial" w:cs="Arial"/>
                <w:b/>
                <w:iCs/>
                <w:noProof/>
                <w:sz w:val="32"/>
                <w:szCs w:val="24"/>
              </w:rPr>
              <w:drawing>
                <wp:inline distT="0" distB="0" distL="0" distR="0" wp14:anchorId="4E13B169" wp14:editId="6489DF89">
                  <wp:extent cx="504825" cy="561975"/>
                  <wp:effectExtent l="19050" t="0" r="9525" b="0"/>
                  <wp:docPr id="1" name="Picture 1" descr="Fasset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asset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825" cy="561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21498" w:rsidRPr="00221498" w:rsidRDefault="00221498" w:rsidP="002214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</w:p>
    <w:tbl>
      <w:tblPr>
        <w:tblStyle w:val="TableGrid1"/>
        <w:tblW w:w="10314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376"/>
        <w:gridCol w:w="7938"/>
      </w:tblGrid>
      <w:tr w:rsidR="00221498" w:rsidRPr="00221498" w:rsidTr="00682E4F">
        <w:trPr>
          <w:trHeight w:val="340"/>
        </w:trPr>
        <w:tc>
          <w:tcPr>
            <w:tcW w:w="2376" w:type="dxa"/>
            <w:vAlign w:val="center"/>
          </w:tcPr>
          <w:p w:rsidR="00221498" w:rsidRPr="00221498" w:rsidRDefault="00221498" w:rsidP="00221498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color w:val="000000"/>
              </w:rPr>
            </w:pPr>
            <w:r w:rsidRPr="00221498">
              <w:rPr>
                <w:rFonts w:ascii="Arial" w:hAnsi="Arial" w:cs="Arial"/>
                <w:bCs/>
                <w:color w:val="000000"/>
              </w:rPr>
              <w:t>Professional Body:</w:t>
            </w:r>
          </w:p>
        </w:tc>
        <w:tc>
          <w:tcPr>
            <w:tcW w:w="7938" w:type="dxa"/>
            <w:vAlign w:val="center"/>
          </w:tcPr>
          <w:p w:rsidR="00221498" w:rsidRPr="00221498" w:rsidRDefault="00221498" w:rsidP="0022149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BE2BD2">
              <w:rPr>
                <w:rFonts w:ascii="Arial" w:hAnsi="Arial" w:cs="Arial"/>
                <w:color w:val="000000"/>
              </w:rPr>
              <w:t xml:space="preserve">Chartered Institute of Management Accountants </w:t>
            </w:r>
            <w:r w:rsidRPr="00221498">
              <w:rPr>
                <w:rFonts w:ascii="Arial" w:hAnsi="Arial" w:cs="Arial"/>
                <w:color w:val="000000"/>
              </w:rPr>
              <w:t>(CIMA)</w:t>
            </w:r>
          </w:p>
        </w:tc>
      </w:tr>
      <w:tr w:rsidR="00221498" w:rsidRPr="00221498" w:rsidTr="00682E4F">
        <w:trPr>
          <w:trHeight w:val="340"/>
        </w:trPr>
        <w:tc>
          <w:tcPr>
            <w:tcW w:w="2376" w:type="dxa"/>
            <w:vAlign w:val="center"/>
          </w:tcPr>
          <w:p w:rsidR="00221498" w:rsidRPr="00221498" w:rsidRDefault="00221498" w:rsidP="00221498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color w:val="000000"/>
              </w:rPr>
            </w:pPr>
            <w:r w:rsidRPr="00221498">
              <w:rPr>
                <w:rFonts w:ascii="Arial" w:hAnsi="Arial" w:cs="Arial"/>
                <w:bCs/>
                <w:color w:val="000000"/>
              </w:rPr>
              <w:t>Learnership Title:</w:t>
            </w:r>
          </w:p>
        </w:tc>
        <w:tc>
          <w:tcPr>
            <w:tcW w:w="7938" w:type="dxa"/>
            <w:vAlign w:val="center"/>
          </w:tcPr>
          <w:p w:rsidR="00221498" w:rsidRPr="00221498" w:rsidRDefault="00221498" w:rsidP="00221498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</w:rPr>
            </w:pPr>
            <w:r w:rsidRPr="00BE2BD2">
              <w:rPr>
                <w:rFonts w:ascii="Arial" w:hAnsi="Arial" w:cs="Arial"/>
                <w:color w:val="000000"/>
              </w:rPr>
              <w:t>Diploma in Management Accounting</w:t>
            </w:r>
            <w:r w:rsidRPr="00221498">
              <w:rPr>
                <w:rFonts w:ascii="Arial" w:hAnsi="Arial" w:cs="Arial"/>
                <w:bCs/>
                <w:color w:val="000000"/>
              </w:rPr>
              <w:t xml:space="preserve"> </w:t>
            </w:r>
            <w:r w:rsidRPr="00221498">
              <w:rPr>
                <w:rFonts w:ascii="Arial" w:hAnsi="Arial" w:cs="Arial"/>
                <w:bCs/>
                <w:color w:val="000000"/>
              </w:rPr>
              <w:t>Learnership</w:t>
            </w:r>
          </w:p>
        </w:tc>
      </w:tr>
      <w:tr w:rsidR="00221498" w:rsidRPr="00221498" w:rsidTr="00682E4F">
        <w:trPr>
          <w:trHeight w:val="340"/>
        </w:trPr>
        <w:tc>
          <w:tcPr>
            <w:tcW w:w="2376" w:type="dxa"/>
            <w:vAlign w:val="center"/>
          </w:tcPr>
          <w:p w:rsidR="00221498" w:rsidRPr="00221498" w:rsidRDefault="00221498" w:rsidP="00221498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color w:val="000000"/>
              </w:rPr>
            </w:pPr>
            <w:r w:rsidRPr="00221498">
              <w:rPr>
                <w:rFonts w:ascii="Arial" w:hAnsi="Arial" w:cs="Arial"/>
                <w:bCs/>
                <w:color w:val="000000"/>
              </w:rPr>
              <w:t>Learnership Code:</w:t>
            </w:r>
          </w:p>
        </w:tc>
        <w:tc>
          <w:tcPr>
            <w:tcW w:w="7938" w:type="dxa"/>
            <w:vAlign w:val="center"/>
          </w:tcPr>
          <w:p w:rsidR="00221498" w:rsidRPr="00221498" w:rsidRDefault="00221498" w:rsidP="00221498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color w:val="000000"/>
              </w:rPr>
            </w:pPr>
            <w:r w:rsidRPr="00BE2BD2">
              <w:rPr>
                <w:rFonts w:ascii="Arial" w:hAnsi="Arial" w:cs="Arial"/>
                <w:color w:val="000000"/>
              </w:rPr>
              <w:t>01/Q010017/00/240/6</w:t>
            </w:r>
          </w:p>
        </w:tc>
      </w:tr>
      <w:tr w:rsidR="00221498" w:rsidRPr="00221498" w:rsidTr="00682E4F">
        <w:trPr>
          <w:trHeight w:val="314"/>
        </w:trPr>
        <w:tc>
          <w:tcPr>
            <w:tcW w:w="2376" w:type="dxa"/>
            <w:vAlign w:val="center"/>
          </w:tcPr>
          <w:p w:rsidR="00221498" w:rsidRPr="00221498" w:rsidRDefault="00221498" w:rsidP="00221498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color w:val="000000"/>
              </w:rPr>
            </w:pPr>
            <w:r w:rsidRPr="00221498">
              <w:rPr>
                <w:rFonts w:ascii="Arial" w:hAnsi="Arial" w:cs="Arial"/>
                <w:bCs/>
                <w:color w:val="000000"/>
              </w:rPr>
              <w:t>NQF Level:</w:t>
            </w:r>
          </w:p>
        </w:tc>
        <w:tc>
          <w:tcPr>
            <w:tcW w:w="7938" w:type="dxa"/>
            <w:vAlign w:val="center"/>
          </w:tcPr>
          <w:p w:rsidR="00221498" w:rsidRPr="00221498" w:rsidRDefault="00221498" w:rsidP="00221498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6</w:t>
            </w:r>
          </w:p>
        </w:tc>
      </w:tr>
    </w:tbl>
    <w:p w:rsidR="00CD1B6A" w:rsidRPr="00BE2BD2" w:rsidRDefault="00CD1B6A" w:rsidP="009B17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bookmarkStart w:id="0" w:name="_GoBack"/>
      <w:bookmarkEnd w:id="0"/>
    </w:p>
    <w:p w:rsidR="009B17A2" w:rsidRPr="00BE2BD2" w:rsidRDefault="009B17A2" w:rsidP="009B17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BE2BD2">
        <w:rPr>
          <w:rFonts w:ascii="Arial" w:hAnsi="Arial" w:cs="Arial"/>
          <w:color w:val="000000"/>
        </w:rPr>
        <w:t>The Chartered Institute of Management Accountants (CIMA) is a global body that operates in 1</w:t>
      </w:r>
      <w:r w:rsidR="00E36F3D" w:rsidRPr="00BE2BD2">
        <w:rPr>
          <w:rFonts w:ascii="Arial" w:hAnsi="Arial" w:cs="Arial"/>
          <w:color w:val="000000"/>
        </w:rPr>
        <w:t>73</w:t>
      </w:r>
      <w:r w:rsidR="00133569" w:rsidRPr="00BE2BD2">
        <w:rPr>
          <w:rFonts w:ascii="Arial" w:hAnsi="Arial" w:cs="Arial"/>
          <w:color w:val="000000"/>
        </w:rPr>
        <w:t xml:space="preserve"> </w:t>
      </w:r>
      <w:r w:rsidRPr="00BE2BD2">
        <w:rPr>
          <w:rFonts w:ascii="Arial" w:hAnsi="Arial" w:cs="Arial"/>
          <w:color w:val="000000"/>
        </w:rPr>
        <w:t xml:space="preserve">countries, supports over </w:t>
      </w:r>
      <w:r w:rsidR="00E36F3D" w:rsidRPr="00BE2BD2">
        <w:rPr>
          <w:rFonts w:ascii="Arial" w:hAnsi="Arial" w:cs="Arial"/>
          <w:color w:val="000000"/>
        </w:rPr>
        <w:t>20</w:t>
      </w:r>
      <w:r w:rsidR="00BE2BD2" w:rsidRPr="00BE2BD2">
        <w:rPr>
          <w:rFonts w:ascii="Arial" w:hAnsi="Arial" w:cs="Arial"/>
          <w:color w:val="000000"/>
        </w:rPr>
        <w:t>3</w:t>
      </w:r>
      <w:r w:rsidR="00E36F3D" w:rsidRPr="00BE2BD2">
        <w:rPr>
          <w:rFonts w:ascii="Arial" w:hAnsi="Arial" w:cs="Arial"/>
          <w:color w:val="000000"/>
        </w:rPr>
        <w:t xml:space="preserve">,000 </w:t>
      </w:r>
      <w:r w:rsidRPr="00BE2BD2">
        <w:rPr>
          <w:rFonts w:ascii="Arial" w:hAnsi="Arial" w:cs="Arial"/>
          <w:color w:val="000000"/>
        </w:rPr>
        <w:t>members and students. CIMA’s focus is to qualify students, support</w:t>
      </w:r>
      <w:r w:rsidR="00133569" w:rsidRPr="00BE2BD2">
        <w:rPr>
          <w:rFonts w:ascii="Arial" w:hAnsi="Arial" w:cs="Arial"/>
          <w:color w:val="000000"/>
        </w:rPr>
        <w:t xml:space="preserve"> </w:t>
      </w:r>
      <w:r w:rsidRPr="00BE2BD2">
        <w:rPr>
          <w:rFonts w:ascii="Arial" w:hAnsi="Arial" w:cs="Arial"/>
          <w:color w:val="000000"/>
        </w:rPr>
        <w:t>members and employers, and protect the public interest. The function of the CIMA Diploma in</w:t>
      </w:r>
      <w:r w:rsidR="00BE2BD2" w:rsidRPr="00BE2BD2">
        <w:rPr>
          <w:rFonts w:ascii="Arial" w:hAnsi="Arial" w:cs="Arial"/>
          <w:color w:val="000000"/>
        </w:rPr>
        <w:t xml:space="preserve"> </w:t>
      </w:r>
      <w:r w:rsidRPr="00BE2BD2">
        <w:rPr>
          <w:rFonts w:ascii="Arial" w:hAnsi="Arial" w:cs="Arial"/>
          <w:color w:val="000000"/>
        </w:rPr>
        <w:t>Management Accounting is to begin to specialise learner in the skills and knowledge of management</w:t>
      </w:r>
      <w:r w:rsidR="00133569" w:rsidRPr="00BE2BD2">
        <w:rPr>
          <w:rFonts w:ascii="Arial" w:hAnsi="Arial" w:cs="Arial"/>
          <w:color w:val="000000"/>
        </w:rPr>
        <w:t xml:space="preserve"> </w:t>
      </w:r>
      <w:r w:rsidRPr="00BE2BD2">
        <w:rPr>
          <w:rFonts w:ascii="Arial" w:hAnsi="Arial" w:cs="Arial"/>
          <w:color w:val="000000"/>
        </w:rPr>
        <w:t>accounting.</w:t>
      </w:r>
    </w:p>
    <w:p w:rsidR="00133569" w:rsidRPr="00BE2BD2" w:rsidRDefault="00133569" w:rsidP="009B17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9B17A2" w:rsidRPr="00BE2BD2" w:rsidRDefault="009B17A2" w:rsidP="009B17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BE2BD2">
        <w:rPr>
          <w:rFonts w:ascii="Arial" w:hAnsi="Arial" w:cs="Arial"/>
          <w:b/>
          <w:bCs/>
          <w:color w:val="000000"/>
        </w:rPr>
        <w:t>Entrance Requirements</w:t>
      </w:r>
    </w:p>
    <w:p w:rsidR="009B17A2" w:rsidRPr="00BE2BD2" w:rsidRDefault="009B17A2" w:rsidP="009B17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BE2BD2">
        <w:rPr>
          <w:rFonts w:ascii="Arial" w:hAnsi="Arial" w:cs="Arial"/>
          <w:color w:val="000000"/>
        </w:rPr>
        <w:t xml:space="preserve">The minimum entrance requirements for the CIMA </w:t>
      </w:r>
      <w:r w:rsidR="004544A7" w:rsidRPr="00BE2BD2">
        <w:rPr>
          <w:rFonts w:ascii="Arial" w:hAnsi="Arial" w:cs="Arial"/>
          <w:color w:val="000000"/>
        </w:rPr>
        <w:t xml:space="preserve">Advanced </w:t>
      </w:r>
      <w:r w:rsidRPr="00BE2BD2">
        <w:rPr>
          <w:rFonts w:ascii="Arial" w:hAnsi="Arial" w:cs="Arial"/>
          <w:color w:val="000000"/>
        </w:rPr>
        <w:t>Diploma in Management Accounting Learnership</w:t>
      </w:r>
      <w:r w:rsidR="00133569" w:rsidRPr="00BE2BD2">
        <w:rPr>
          <w:rFonts w:ascii="Arial" w:hAnsi="Arial" w:cs="Arial"/>
          <w:color w:val="000000"/>
        </w:rPr>
        <w:t xml:space="preserve"> </w:t>
      </w:r>
      <w:r w:rsidRPr="00BE2BD2">
        <w:rPr>
          <w:rFonts w:ascii="Arial" w:hAnsi="Arial" w:cs="Arial"/>
          <w:color w:val="000000"/>
        </w:rPr>
        <w:t>are as follows:</w:t>
      </w:r>
    </w:p>
    <w:p w:rsidR="009B17A2" w:rsidRPr="00BE2BD2" w:rsidRDefault="009B17A2" w:rsidP="009B17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BE2BD2">
        <w:rPr>
          <w:rFonts w:ascii="Arial" w:hAnsi="Arial" w:cs="Arial"/>
          <w:color w:val="000000"/>
        </w:rPr>
        <w:t>• Successful completion of the CIMA Certificate in Business Accounting learnership</w:t>
      </w:r>
    </w:p>
    <w:p w:rsidR="009B17A2" w:rsidRPr="00BE2BD2" w:rsidRDefault="009B17A2" w:rsidP="009B17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BE2BD2">
        <w:rPr>
          <w:rFonts w:ascii="Arial" w:hAnsi="Arial" w:cs="Arial"/>
          <w:color w:val="000000"/>
        </w:rPr>
        <w:t>• B</w:t>
      </w:r>
      <w:r w:rsidR="00E36F3D" w:rsidRPr="00BE2BD2">
        <w:rPr>
          <w:rFonts w:ascii="Arial" w:hAnsi="Arial" w:cs="Arial"/>
          <w:color w:val="000000"/>
        </w:rPr>
        <w:t xml:space="preserve">achelor of Commerce </w:t>
      </w:r>
      <w:r w:rsidRPr="00BE2BD2">
        <w:rPr>
          <w:rFonts w:ascii="Arial" w:hAnsi="Arial" w:cs="Arial"/>
          <w:color w:val="000000"/>
        </w:rPr>
        <w:t>or equivalent qualification that has been awarded exemptions by CIMA. Qualifications that</w:t>
      </w:r>
      <w:r w:rsidR="00133569" w:rsidRPr="00BE2BD2">
        <w:rPr>
          <w:rFonts w:ascii="Arial" w:hAnsi="Arial" w:cs="Arial"/>
          <w:color w:val="000000"/>
        </w:rPr>
        <w:t xml:space="preserve"> </w:t>
      </w:r>
      <w:r w:rsidRPr="00BE2BD2">
        <w:rPr>
          <w:rFonts w:ascii="Arial" w:hAnsi="Arial" w:cs="Arial"/>
          <w:color w:val="000000"/>
        </w:rPr>
        <w:t xml:space="preserve">have received exemptions are listed on our website at </w:t>
      </w:r>
      <w:hyperlink r:id="rId7" w:history="1">
        <w:r w:rsidR="00133569" w:rsidRPr="00BE2BD2">
          <w:rPr>
            <w:rStyle w:val="Hyperlink"/>
            <w:rFonts w:ascii="Arial" w:hAnsi="Arial" w:cs="Arial"/>
          </w:rPr>
          <w:t>www.cimaglobal.com</w:t>
        </w:r>
      </w:hyperlink>
    </w:p>
    <w:p w:rsidR="00133569" w:rsidRPr="00BE2BD2" w:rsidRDefault="00133569" w:rsidP="009B17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9B17A2" w:rsidRPr="00BE2BD2" w:rsidRDefault="009B17A2" w:rsidP="009B17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BE2BD2">
        <w:rPr>
          <w:rFonts w:ascii="Arial" w:hAnsi="Arial" w:cs="Arial"/>
          <w:b/>
          <w:bCs/>
          <w:color w:val="000000"/>
        </w:rPr>
        <w:t>Syllabus</w:t>
      </w:r>
    </w:p>
    <w:p w:rsidR="009B17A2" w:rsidRPr="00BE2BD2" w:rsidRDefault="009B17A2" w:rsidP="009B17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BE2BD2">
        <w:rPr>
          <w:rFonts w:ascii="Arial" w:hAnsi="Arial" w:cs="Arial"/>
          <w:color w:val="000000"/>
        </w:rPr>
        <w:t>Like all learnerships, the CIMA Diploma in Management Accounting has a theoretical component and</w:t>
      </w:r>
      <w:r w:rsidR="00133569" w:rsidRPr="00BE2BD2">
        <w:rPr>
          <w:rFonts w:ascii="Arial" w:hAnsi="Arial" w:cs="Arial"/>
          <w:color w:val="000000"/>
        </w:rPr>
        <w:t xml:space="preserve"> </w:t>
      </w:r>
      <w:r w:rsidRPr="00BE2BD2">
        <w:rPr>
          <w:rFonts w:ascii="Arial" w:hAnsi="Arial" w:cs="Arial"/>
          <w:color w:val="000000"/>
        </w:rPr>
        <w:t>a practical component.</w:t>
      </w:r>
    </w:p>
    <w:p w:rsidR="00133569" w:rsidRPr="00BE2BD2" w:rsidRDefault="00133569" w:rsidP="009B17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7"/>
        <w:gridCol w:w="6015"/>
      </w:tblGrid>
      <w:tr w:rsidR="00116BF4" w:rsidRPr="00BE2BD2" w:rsidTr="006F3358">
        <w:tc>
          <w:tcPr>
            <w:tcW w:w="3227" w:type="dxa"/>
          </w:tcPr>
          <w:p w:rsidR="00116BF4" w:rsidRPr="00BE2BD2" w:rsidRDefault="00116BF4" w:rsidP="00116BF4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 w:rsidRPr="00BE2BD2">
              <w:rPr>
                <w:rFonts w:ascii="Arial" w:hAnsi="Arial" w:cs="Arial"/>
                <w:b/>
                <w:bCs/>
              </w:rPr>
              <w:t>Theoretical Practical</w:t>
            </w:r>
          </w:p>
          <w:p w:rsidR="00116BF4" w:rsidRPr="00BE2BD2" w:rsidRDefault="00116BF4" w:rsidP="009B17A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6015" w:type="dxa"/>
          </w:tcPr>
          <w:p w:rsidR="00116BF4" w:rsidRPr="00BE2BD2" w:rsidRDefault="00116BF4" w:rsidP="00022D18">
            <w:pPr>
              <w:spacing w:before="100" w:beforeAutospacing="1" w:after="100" w:afterAutospacing="1"/>
              <w:rPr>
                <w:rFonts w:ascii="Arial" w:eastAsia="Times New Roman" w:hAnsi="Arial" w:cs="Arial"/>
                <w:bCs/>
                <w:lang w:val="en-GB" w:eastAsia="en-GB"/>
              </w:rPr>
            </w:pPr>
          </w:p>
        </w:tc>
      </w:tr>
      <w:tr w:rsidR="006F3358" w:rsidRPr="00BE2BD2" w:rsidTr="006F3358">
        <w:tc>
          <w:tcPr>
            <w:tcW w:w="3227" w:type="dxa"/>
          </w:tcPr>
          <w:p w:rsidR="006F3358" w:rsidRPr="00BE2BD2" w:rsidRDefault="006F3358" w:rsidP="009B17A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 w:rsidRPr="00BE2BD2">
              <w:rPr>
                <w:rFonts w:ascii="Arial" w:hAnsi="Arial" w:cs="Arial"/>
                <w:b/>
                <w:bCs/>
              </w:rPr>
              <w:t>E1: Enterprise Operations</w:t>
            </w:r>
          </w:p>
        </w:tc>
        <w:tc>
          <w:tcPr>
            <w:tcW w:w="6015" w:type="dxa"/>
          </w:tcPr>
          <w:p w:rsidR="006F3358" w:rsidRPr="00BE2BD2" w:rsidRDefault="006F3358" w:rsidP="00022D18">
            <w:pPr>
              <w:spacing w:before="100" w:beforeAutospacing="1" w:after="100" w:afterAutospacing="1"/>
              <w:rPr>
                <w:rFonts w:ascii="Arial" w:hAnsi="Arial" w:cs="Arial"/>
                <w:bCs/>
              </w:rPr>
            </w:pPr>
            <w:r w:rsidRPr="00BE2BD2">
              <w:rPr>
                <w:rFonts w:ascii="Arial" w:eastAsia="Times New Roman" w:hAnsi="Arial" w:cs="Arial"/>
                <w:bCs/>
                <w:lang w:val="en-GB" w:eastAsia="en-GB"/>
              </w:rPr>
              <w:t>The global business environment, Information systems, Operations management, Marketing, Managing human capital</w:t>
            </w:r>
          </w:p>
        </w:tc>
      </w:tr>
      <w:tr w:rsidR="006F3358" w:rsidRPr="00BE2BD2" w:rsidTr="006F3358">
        <w:tc>
          <w:tcPr>
            <w:tcW w:w="3227" w:type="dxa"/>
          </w:tcPr>
          <w:p w:rsidR="006F3358" w:rsidRPr="00BE2BD2" w:rsidRDefault="006F3358" w:rsidP="009B17A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 w:rsidRPr="00BE2BD2">
              <w:rPr>
                <w:rFonts w:ascii="Arial" w:hAnsi="Arial" w:cs="Arial"/>
                <w:b/>
                <w:bCs/>
              </w:rPr>
              <w:t>P1: Performance Operations</w:t>
            </w:r>
          </w:p>
        </w:tc>
        <w:tc>
          <w:tcPr>
            <w:tcW w:w="6015" w:type="dxa"/>
          </w:tcPr>
          <w:p w:rsidR="006F3358" w:rsidRPr="00BE2BD2" w:rsidRDefault="00984A41" w:rsidP="00022D18">
            <w:pPr>
              <w:spacing w:before="100" w:beforeAutospacing="1" w:after="100" w:afterAutospacing="1"/>
              <w:rPr>
                <w:rFonts w:ascii="Arial" w:hAnsi="Arial" w:cs="Arial"/>
                <w:bCs/>
              </w:rPr>
            </w:pPr>
            <w:r w:rsidRPr="00BE2BD2">
              <w:rPr>
                <w:rFonts w:ascii="Arial" w:eastAsia="Times New Roman" w:hAnsi="Arial" w:cs="Arial"/>
                <w:bCs/>
                <w:lang w:val="en-GB" w:eastAsia="en-GB"/>
              </w:rPr>
              <w:t>Cost accounting systems</w:t>
            </w:r>
            <w:r w:rsidR="00022D18" w:rsidRPr="00BE2BD2">
              <w:rPr>
                <w:rFonts w:ascii="Arial" w:eastAsia="Times New Roman" w:hAnsi="Arial" w:cs="Arial"/>
                <w:bCs/>
                <w:lang w:val="en-GB" w:eastAsia="en-GB"/>
              </w:rPr>
              <w:t xml:space="preserve">, </w:t>
            </w:r>
            <w:r w:rsidRPr="00BE2BD2">
              <w:rPr>
                <w:rFonts w:ascii="Arial" w:eastAsia="Times New Roman" w:hAnsi="Arial" w:cs="Arial"/>
                <w:bCs/>
                <w:lang w:val="en-GB" w:eastAsia="en-GB"/>
              </w:rPr>
              <w:t>Forecasting and budgeting techniques</w:t>
            </w:r>
            <w:r w:rsidR="00022D18" w:rsidRPr="00BE2BD2">
              <w:rPr>
                <w:rFonts w:ascii="Arial" w:eastAsia="Times New Roman" w:hAnsi="Arial" w:cs="Arial"/>
                <w:bCs/>
                <w:lang w:val="en-GB" w:eastAsia="en-GB"/>
              </w:rPr>
              <w:t xml:space="preserve">, </w:t>
            </w:r>
            <w:r w:rsidRPr="00BE2BD2">
              <w:rPr>
                <w:rFonts w:ascii="Arial" w:eastAsia="Times New Roman" w:hAnsi="Arial" w:cs="Arial"/>
                <w:bCs/>
                <w:lang w:val="en-GB" w:eastAsia="en-GB"/>
              </w:rPr>
              <w:t>Project appraisal</w:t>
            </w:r>
            <w:r w:rsidR="00022D18" w:rsidRPr="00BE2BD2">
              <w:rPr>
                <w:rFonts w:ascii="Arial" w:eastAsia="Times New Roman" w:hAnsi="Arial" w:cs="Arial"/>
                <w:bCs/>
                <w:lang w:val="en-GB" w:eastAsia="en-GB"/>
              </w:rPr>
              <w:t xml:space="preserve">, </w:t>
            </w:r>
            <w:r w:rsidRPr="00BE2BD2">
              <w:rPr>
                <w:rFonts w:ascii="Arial" w:eastAsia="Times New Roman" w:hAnsi="Arial" w:cs="Arial"/>
                <w:bCs/>
                <w:lang w:val="en-GB" w:eastAsia="en-GB"/>
              </w:rPr>
              <w:t>Dealing with uncertainty in analysis</w:t>
            </w:r>
            <w:r w:rsidR="00022D18" w:rsidRPr="00BE2BD2">
              <w:rPr>
                <w:rFonts w:ascii="Arial" w:eastAsia="Times New Roman" w:hAnsi="Arial" w:cs="Arial"/>
                <w:bCs/>
                <w:lang w:val="en-GB" w:eastAsia="en-GB"/>
              </w:rPr>
              <w:t xml:space="preserve">, </w:t>
            </w:r>
            <w:r w:rsidRPr="00BE2BD2">
              <w:rPr>
                <w:rFonts w:ascii="Arial" w:eastAsia="Times New Roman" w:hAnsi="Arial" w:cs="Arial"/>
                <w:bCs/>
                <w:lang w:val="en-GB" w:eastAsia="en-GB"/>
              </w:rPr>
              <w:t>Managing short term finance</w:t>
            </w:r>
          </w:p>
        </w:tc>
      </w:tr>
      <w:tr w:rsidR="006F3358" w:rsidRPr="00BE2BD2" w:rsidTr="006F3358">
        <w:tc>
          <w:tcPr>
            <w:tcW w:w="3227" w:type="dxa"/>
          </w:tcPr>
          <w:p w:rsidR="006F3358" w:rsidRPr="00BE2BD2" w:rsidRDefault="00022D18" w:rsidP="009B17A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 w:rsidRPr="00BE2BD2">
              <w:rPr>
                <w:rFonts w:ascii="Arial" w:hAnsi="Arial" w:cs="Arial"/>
                <w:b/>
                <w:bCs/>
              </w:rPr>
              <w:t>F1: Financial Operations</w:t>
            </w:r>
          </w:p>
        </w:tc>
        <w:tc>
          <w:tcPr>
            <w:tcW w:w="6015" w:type="dxa"/>
          </w:tcPr>
          <w:p w:rsidR="006F3358" w:rsidRPr="00BE2BD2" w:rsidRDefault="004F5EC6" w:rsidP="004F5EC6">
            <w:pPr>
              <w:spacing w:before="100" w:beforeAutospacing="1" w:after="100" w:afterAutospacing="1"/>
              <w:rPr>
                <w:rFonts w:ascii="Arial" w:hAnsi="Arial" w:cs="Arial"/>
                <w:b/>
                <w:bCs/>
                <w:color w:val="000082"/>
              </w:rPr>
            </w:pPr>
            <w:r w:rsidRPr="00BE2BD2">
              <w:rPr>
                <w:rFonts w:ascii="Arial" w:eastAsia="Times New Roman" w:hAnsi="Arial" w:cs="Arial"/>
                <w:bCs/>
                <w:lang w:val="en-GB" w:eastAsia="en-GB"/>
              </w:rPr>
              <w:t>Principles of business taxation, Regulation and ethics of financial reporting, Financial accounting and reporting.</w:t>
            </w:r>
          </w:p>
        </w:tc>
      </w:tr>
      <w:tr w:rsidR="004544A7" w:rsidRPr="00BE2BD2" w:rsidTr="006F3358">
        <w:tc>
          <w:tcPr>
            <w:tcW w:w="3227" w:type="dxa"/>
          </w:tcPr>
          <w:p w:rsidR="004544A7" w:rsidRPr="00BE2BD2" w:rsidRDefault="004544A7" w:rsidP="009B17A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 w:rsidRPr="00BE2BD2">
              <w:rPr>
                <w:rFonts w:ascii="Arial" w:hAnsi="Arial" w:cs="Arial"/>
                <w:b/>
                <w:bCs/>
              </w:rPr>
              <w:t>E2: Enterprise Management</w:t>
            </w:r>
          </w:p>
        </w:tc>
        <w:tc>
          <w:tcPr>
            <w:tcW w:w="6015" w:type="dxa"/>
          </w:tcPr>
          <w:p w:rsidR="004544A7" w:rsidRPr="00BE2BD2" w:rsidRDefault="004544A7" w:rsidP="004544A7">
            <w:pPr>
              <w:spacing w:before="100" w:beforeAutospacing="1" w:after="100" w:afterAutospacing="1"/>
              <w:rPr>
                <w:rFonts w:ascii="Arial" w:eastAsia="Times New Roman" w:hAnsi="Arial" w:cs="Arial"/>
                <w:bCs/>
                <w:lang w:val="en-GB" w:eastAsia="en-GB"/>
              </w:rPr>
            </w:pPr>
            <w:r w:rsidRPr="00BE2BD2">
              <w:rPr>
                <w:rFonts w:ascii="Arial" w:eastAsia="Times New Roman" w:hAnsi="Arial" w:cs="Arial"/>
                <w:lang w:val="en-GB" w:eastAsia="en-GB"/>
              </w:rPr>
              <w:t>Strategic management and assessing the competitive environment, Project management, Management of relationships</w:t>
            </w:r>
          </w:p>
        </w:tc>
      </w:tr>
      <w:tr w:rsidR="004544A7" w:rsidRPr="00BE2BD2" w:rsidTr="006F3358">
        <w:tc>
          <w:tcPr>
            <w:tcW w:w="3227" w:type="dxa"/>
          </w:tcPr>
          <w:p w:rsidR="004544A7" w:rsidRPr="00BE2BD2" w:rsidRDefault="004544A7" w:rsidP="009B17A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 w:rsidRPr="00BE2BD2">
              <w:rPr>
                <w:rFonts w:ascii="Arial" w:hAnsi="Arial" w:cs="Arial"/>
                <w:b/>
                <w:bCs/>
              </w:rPr>
              <w:t>P2: Performance Management</w:t>
            </w:r>
          </w:p>
        </w:tc>
        <w:tc>
          <w:tcPr>
            <w:tcW w:w="6015" w:type="dxa"/>
          </w:tcPr>
          <w:p w:rsidR="004544A7" w:rsidRPr="00BE2BD2" w:rsidRDefault="004544A7" w:rsidP="004544A7">
            <w:pPr>
              <w:spacing w:before="100" w:beforeAutospacing="1" w:after="100" w:afterAutospacing="1"/>
              <w:rPr>
                <w:rFonts w:ascii="Arial" w:eastAsia="Times New Roman" w:hAnsi="Arial" w:cs="Arial"/>
                <w:bCs/>
                <w:lang w:val="en-GB" w:eastAsia="en-GB"/>
              </w:rPr>
            </w:pPr>
            <w:r w:rsidRPr="00BE2BD2">
              <w:rPr>
                <w:rFonts w:ascii="Arial" w:eastAsia="Times New Roman" w:hAnsi="Arial" w:cs="Arial"/>
                <w:lang w:val="en-GB" w:eastAsia="en-GB"/>
              </w:rPr>
              <w:t>Pricing and product decisions, Cost planning and analysis for competitive advantage, Budgeting and management control, Control and performance measurement of responsibility centres.</w:t>
            </w:r>
          </w:p>
        </w:tc>
      </w:tr>
      <w:tr w:rsidR="004544A7" w:rsidRPr="00BE2BD2" w:rsidTr="006F3358">
        <w:tc>
          <w:tcPr>
            <w:tcW w:w="3227" w:type="dxa"/>
          </w:tcPr>
          <w:p w:rsidR="004544A7" w:rsidRPr="00BE2BD2" w:rsidRDefault="004544A7" w:rsidP="009B17A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 w:rsidRPr="00BE2BD2">
              <w:rPr>
                <w:rFonts w:ascii="Arial" w:hAnsi="Arial" w:cs="Arial"/>
                <w:b/>
                <w:bCs/>
              </w:rPr>
              <w:t>F2: Financial Management</w:t>
            </w:r>
          </w:p>
        </w:tc>
        <w:tc>
          <w:tcPr>
            <w:tcW w:w="6015" w:type="dxa"/>
          </w:tcPr>
          <w:p w:rsidR="004544A7" w:rsidRPr="00BE2BD2" w:rsidRDefault="00B3011D" w:rsidP="00B3011D">
            <w:pPr>
              <w:spacing w:before="100" w:beforeAutospacing="1" w:after="100" w:afterAutospacing="1"/>
              <w:rPr>
                <w:rFonts w:ascii="Arial" w:eastAsia="Times New Roman" w:hAnsi="Arial" w:cs="Arial"/>
                <w:bCs/>
                <w:lang w:val="en-GB" w:eastAsia="en-GB"/>
              </w:rPr>
            </w:pPr>
            <w:r w:rsidRPr="00BE2BD2">
              <w:rPr>
                <w:rFonts w:ascii="Arial" w:eastAsia="Times New Roman" w:hAnsi="Arial" w:cs="Arial"/>
                <w:bCs/>
                <w:lang w:val="en-GB" w:eastAsia="en-GB"/>
              </w:rPr>
              <w:t>Group financial statements, Issues in recognition and measurement, Analysis and interpretation of financial accounts, Developments in external reporting.</w:t>
            </w:r>
          </w:p>
        </w:tc>
      </w:tr>
      <w:tr w:rsidR="00116BF4" w:rsidRPr="00BE2BD2" w:rsidTr="006F3358">
        <w:tc>
          <w:tcPr>
            <w:tcW w:w="3227" w:type="dxa"/>
          </w:tcPr>
          <w:p w:rsidR="00116BF4" w:rsidRPr="00BE2BD2" w:rsidRDefault="00116BF4" w:rsidP="009B17A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 w:rsidRPr="00BE2BD2">
              <w:rPr>
                <w:rFonts w:ascii="Arial" w:hAnsi="Arial" w:cs="Arial"/>
                <w:b/>
                <w:bCs/>
              </w:rPr>
              <w:t>Practical</w:t>
            </w:r>
          </w:p>
        </w:tc>
        <w:tc>
          <w:tcPr>
            <w:tcW w:w="6015" w:type="dxa"/>
          </w:tcPr>
          <w:p w:rsidR="00116BF4" w:rsidRPr="00BE2BD2" w:rsidRDefault="006B16AD" w:rsidP="004F5EC6">
            <w:pPr>
              <w:spacing w:before="100" w:beforeAutospacing="1" w:after="100" w:afterAutospacing="1"/>
              <w:rPr>
                <w:rFonts w:ascii="Arial" w:eastAsia="Times New Roman" w:hAnsi="Arial" w:cs="Arial"/>
                <w:bCs/>
                <w:lang w:val="en-GB" w:eastAsia="en-GB"/>
              </w:rPr>
            </w:pPr>
            <w:r w:rsidRPr="00BE2BD2">
              <w:rPr>
                <w:rFonts w:ascii="Arial" w:eastAsia="Times New Roman" w:hAnsi="Arial" w:cs="Arial"/>
                <w:bCs/>
                <w:lang w:val="en-GB" w:eastAsia="en-GB"/>
              </w:rPr>
              <w:t>Preparation of Management Accounts</w:t>
            </w:r>
          </w:p>
        </w:tc>
      </w:tr>
      <w:tr w:rsidR="006B16AD" w:rsidRPr="00BE2BD2" w:rsidTr="006F3358">
        <w:tc>
          <w:tcPr>
            <w:tcW w:w="3227" w:type="dxa"/>
          </w:tcPr>
          <w:p w:rsidR="006B16AD" w:rsidRPr="00BE2BD2" w:rsidRDefault="006B16AD" w:rsidP="009B17A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6015" w:type="dxa"/>
          </w:tcPr>
          <w:p w:rsidR="006B16AD" w:rsidRPr="00BE2BD2" w:rsidRDefault="006B16AD" w:rsidP="004F5EC6">
            <w:pPr>
              <w:spacing w:before="100" w:beforeAutospacing="1" w:after="100" w:afterAutospacing="1"/>
              <w:rPr>
                <w:rFonts w:ascii="Arial" w:eastAsia="Times New Roman" w:hAnsi="Arial" w:cs="Arial"/>
                <w:bCs/>
                <w:lang w:val="en-GB" w:eastAsia="en-GB"/>
              </w:rPr>
            </w:pPr>
            <w:r w:rsidRPr="00BE2BD2">
              <w:rPr>
                <w:rFonts w:ascii="Arial" w:eastAsia="Times New Roman" w:hAnsi="Arial" w:cs="Arial"/>
                <w:bCs/>
                <w:lang w:val="en-GB" w:eastAsia="en-GB"/>
              </w:rPr>
              <w:t>Planning, Budgeting and Forecasting</w:t>
            </w:r>
          </w:p>
        </w:tc>
      </w:tr>
      <w:tr w:rsidR="006B16AD" w:rsidRPr="00BE2BD2" w:rsidTr="006F3358">
        <w:tc>
          <w:tcPr>
            <w:tcW w:w="3227" w:type="dxa"/>
          </w:tcPr>
          <w:p w:rsidR="006B16AD" w:rsidRPr="00BE2BD2" w:rsidRDefault="006B16AD" w:rsidP="009B17A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6015" w:type="dxa"/>
          </w:tcPr>
          <w:p w:rsidR="006B16AD" w:rsidRPr="00BE2BD2" w:rsidRDefault="006B16AD" w:rsidP="006B16AD">
            <w:pPr>
              <w:spacing w:before="100" w:beforeAutospacing="1" w:after="100" w:afterAutospacing="1"/>
              <w:rPr>
                <w:rFonts w:ascii="Arial" w:eastAsia="Times New Roman" w:hAnsi="Arial" w:cs="Arial"/>
                <w:bCs/>
                <w:lang w:val="en-GB" w:eastAsia="en-GB"/>
              </w:rPr>
            </w:pPr>
            <w:r w:rsidRPr="00BE2BD2">
              <w:rPr>
                <w:rFonts w:ascii="Arial" w:eastAsia="Times New Roman" w:hAnsi="Arial" w:cs="Arial"/>
                <w:bCs/>
                <w:lang w:val="en-GB" w:eastAsia="en-GB"/>
              </w:rPr>
              <w:t>Management Reporting for Decision Making</w:t>
            </w:r>
          </w:p>
        </w:tc>
      </w:tr>
      <w:tr w:rsidR="006B16AD" w:rsidRPr="00BE2BD2" w:rsidTr="006F3358">
        <w:tc>
          <w:tcPr>
            <w:tcW w:w="3227" w:type="dxa"/>
          </w:tcPr>
          <w:p w:rsidR="006B16AD" w:rsidRPr="00BE2BD2" w:rsidRDefault="006B16AD" w:rsidP="009B17A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6015" w:type="dxa"/>
          </w:tcPr>
          <w:p w:rsidR="006B16AD" w:rsidRPr="00BE2BD2" w:rsidRDefault="006B16AD" w:rsidP="004F5EC6">
            <w:pPr>
              <w:spacing w:before="100" w:beforeAutospacing="1" w:after="100" w:afterAutospacing="1"/>
              <w:rPr>
                <w:rFonts w:ascii="Arial" w:eastAsia="Times New Roman" w:hAnsi="Arial" w:cs="Arial"/>
                <w:bCs/>
                <w:lang w:val="en-GB" w:eastAsia="en-GB"/>
              </w:rPr>
            </w:pPr>
            <w:r w:rsidRPr="00BE2BD2">
              <w:rPr>
                <w:rFonts w:ascii="Arial" w:eastAsia="Times New Roman" w:hAnsi="Arial" w:cs="Arial"/>
                <w:bCs/>
                <w:lang w:val="en-GB" w:eastAsia="en-GB"/>
              </w:rPr>
              <w:t>Product and Service Costing</w:t>
            </w:r>
          </w:p>
        </w:tc>
      </w:tr>
      <w:tr w:rsidR="006B16AD" w:rsidRPr="00BE2BD2" w:rsidTr="006F3358">
        <w:tc>
          <w:tcPr>
            <w:tcW w:w="3227" w:type="dxa"/>
          </w:tcPr>
          <w:p w:rsidR="006B16AD" w:rsidRPr="00BE2BD2" w:rsidRDefault="006B16AD" w:rsidP="009B17A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6015" w:type="dxa"/>
          </w:tcPr>
          <w:p w:rsidR="006B16AD" w:rsidRPr="00BE2BD2" w:rsidRDefault="006B16AD" w:rsidP="004F5EC6">
            <w:pPr>
              <w:spacing w:before="100" w:beforeAutospacing="1" w:after="100" w:afterAutospacing="1"/>
              <w:rPr>
                <w:rFonts w:ascii="Arial" w:eastAsia="Times New Roman" w:hAnsi="Arial" w:cs="Arial"/>
                <w:bCs/>
                <w:lang w:val="en-GB" w:eastAsia="en-GB"/>
              </w:rPr>
            </w:pPr>
            <w:r w:rsidRPr="00BE2BD2">
              <w:rPr>
                <w:rFonts w:ascii="Arial" w:eastAsia="Times New Roman" w:hAnsi="Arial" w:cs="Arial"/>
                <w:bCs/>
                <w:lang w:val="en-GB" w:eastAsia="en-GB"/>
              </w:rPr>
              <w:t>Information Management</w:t>
            </w:r>
          </w:p>
        </w:tc>
      </w:tr>
      <w:tr w:rsidR="006B16AD" w:rsidRPr="00BE2BD2" w:rsidTr="006F3358">
        <w:tc>
          <w:tcPr>
            <w:tcW w:w="3227" w:type="dxa"/>
          </w:tcPr>
          <w:p w:rsidR="006B16AD" w:rsidRPr="00BE2BD2" w:rsidRDefault="006B16AD" w:rsidP="009B17A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6015" w:type="dxa"/>
          </w:tcPr>
          <w:p w:rsidR="006B16AD" w:rsidRPr="00BE2BD2" w:rsidRDefault="006B16AD" w:rsidP="004F5EC6">
            <w:pPr>
              <w:spacing w:before="100" w:beforeAutospacing="1" w:after="100" w:afterAutospacing="1"/>
              <w:rPr>
                <w:rFonts w:ascii="Arial" w:eastAsia="Times New Roman" w:hAnsi="Arial" w:cs="Arial"/>
                <w:bCs/>
                <w:lang w:val="en-GB" w:eastAsia="en-GB"/>
              </w:rPr>
            </w:pPr>
            <w:r w:rsidRPr="00BE2BD2">
              <w:rPr>
                <w:rFonts w:ascii="Arial" w:eastAsia="Times New Roman" w:hAnsi="Arial" w:cs="Arial"/>
                <w:bCs/>
                <w:lang w:val="en-GB" w:eastAsia="en-GB"/>
              </w:rPr>
              <w:t>Project Appraisal</w:t>
            </w:r>
          </w:p>
        </w:tc>
      </w:tr>
      <w:tr w:rsidR="006B16AD" w:rsidRPr="00BE2BD2" w:rsidTr="006F3358">
        <w:tc>
          <w:tcPr>
            <w:tcW w:w="3227" w:type="dxa"/>
          </w:tcPr>
          <w:p w:rsidR="006B16AD" w:rsidRPr="00BE2BD2" w:rsidRDefault="006B16AD" w:rsidP="009B17A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6015" w:type="dxa"/>
          </w:tcPr>
          <w:p w:rsidR="006B16AD" w:rsidRPr="00BE2BD2" w:rsidRDefault="006B16AD" w:rsidP="004F5EC6">
            <w:pPr>
              <w:spacing w:before="100" w:beforeAutospacing="1" w:after="100" w:afterAutospacing="1"/>
              <w:rPr>
                <w:rFonts w:ascii="Arial" w:eastAsia="Times New Roman" w:hAnsi="Arial" w:cs="Arial"/>
                <w:bCs/>
                <w:lang w:val="en-GB" w:eastAsia="en-GB"/>
              </w:rPr>
            </w:pPr>
            <w:r w:rsidRPr="00BE2BD2">
              <w:rPr>
                <w:rFonts w:ascii="Arial" w:eastAsia="Times New Roman" w:hAnsi="Arial" w:cs="Arial"/>
                <w:bCs/>
                <w:lang w:val="en-GB" w:eastAsia="en-GB"/>
              </w:rPr>
              <w:t>Project Management</w:t>
            </w:r>
          </w:p>
        </w:tc>
      </w:tr>
      <w:tr w:rsidR="006B16AD" w:rsidRPr="00BE2BD2" w:rsidTr="006F3358">
        <w:tc>
          <w:tcPr>
            <w:tcW w:w="3227" w:type="dxa"/>
          </w:tcPr>
          <w:p w:rsidR="006B16AD" w:rsidRPr="00BE2BD2" w:rsidRDefault="006B16AD" w:rsidP="009B17A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6015" w:type="dxa"/>
          </w:tcPr>
          <w:p w:rsidR="006B16AD" w:rsidRPr="00BE2BD2" w:rsidRDefault="006B16AD" w:rsidP="004F5EC6">
            <w:pPr>
              <w:spacing w:before="100" w:beforeAutospacing="1" w:after="100" w:afterAutospacing="1"/>
              <w:rPr>
                <w:rFonts w:ascii="Arial" w:eastAsia="Times New Roman" w:hAnsi="Arial" w:cs="Arial"/>
                <w:bCs/>
                <w:lang w:val="en-GB" w:eastAsia="en-GB"/>
              </w:rPr>
            </w:pPr>
            <w:r w:rsidRPr="00BE2BD2">
              <w:rPr>
                <w:rFonts w:ascii="Arial" w:eastAsia="Times New Roman" w:hAnsi="Arial" w:cs="Arial"/>
                <w:bCs/>
                <w:lang w:val="en-GB" w:eastAsia="en-GB"/>
              </w:rPr>
              <w:t>Working Capital Control</w:t>
            </w:r>
          </w:p>
        </w:tc>
      </w:tr>
    </w:tbl>
    <w:p w:rsidR="006F3358" w:rsidRPr="00BE2BD2" w:rsidRDefault="006F3358" w:rsidP="009B17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82"/>
        </w:rPr>
      </w:pPr>
    </w:p>
    <w:p w:rsidR="009B17A2" w:rsidRPr="00BE2BD2" w:rsidRDefault="009B17A2" w:rsidP="009B17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BE2BD2">
        <w:rPr>
          <w:rFonts w:ascii="Arial" w:hAnsi="Arial" w:cs="Arial"/>
          <w:color w:val="000000"/>
        </w:rPr>
        <w:t>A minimum of eighteen months practical experience is required.</w:t>
      </w:r>
    </w:p>
    <w:p w:rsidR="009B17A2" w:rsidRPr="00BE2BD2" w:rsidRDefault="009B17A2" w:rsidP="009B17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BE2BD2">
        <w:rPr>
          <w:rFonts w:ascii="Arial" w:hAnsi="Arial" w:cs="Arial"/>
          <w:color w:val="000000"/>
        </w:rPr>
        <w:t>Practical experience can be obtained while students are completing the theoretical element of the</w:t>
      </w:r>
      <w:r w:rsidR="00133569" w:rsidRPr="00BE2BD2">
        <w:rPr>
          <w:rFonts w:ascii="Arial" w:hAnsi="Arial" w:cs="Arial"/>
          <w:color w:val="000000"/>
        </w:rPr>
        <w:t xml:space="preserve"> </w:t>
      </w:r>
      <w:r w:rsidRPr="00BE2BD2">
        <w:rPr>
          <w:rFonts w:ascii="Arial" w:hAnsi="Arial" w:cs="Arial"/>
          <w:color w:val="000000"/>
        </w:rPr>
        <w:t>learnership or after completion. This learnership typically runs for 24 months.</w:t>
      </w:r>
    </w:p>
    <w:p w:rsidR="009B17A2" w:rsidRPr="00BE2BD2" w:rsidRDefault="009B17A2" w:rsidP="009B17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9B17A2" w:rsidRPr="00BE2BD2" w:rsidRDefault="009B17A2" w:rsidP="009B17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BE2BD2">
        <w:rPr>
          <w:rFonts w:ascii="Arial" w:hAnsi="Arial" w:cs="Arial"/>
          <w:b/>
          <w:bCs/>
          <w:color w:val="000000"/>
        </w:rPr>
        <w:t>Examinations</w:t>
      </w:r>
    </w:p>
    <w:p w:rsidR="009B17A2" w:rsidRPr="00BE2BD2" w:rsidRDefault="009B17A2" w:rsidP="009B17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BE2BD2">
        <w:rPr>
          <w:rFonts w:ascii="Arial" w:hAnsi="Arial" w:cs="Arial"/>
          <w:color w:val="000000"/>
        </w:rPr>
        <w:t>CIMA has two examination sessions per year, May and November. Registration closes 31 January</w:t>
      </w:r>
      <w:r w:rsidR="00133569" w:rsidRPr="00BE2BD2">
        <w:rPr>
          <w:rFonts w:ascii="Arial" w:hAnsi="Arial" w:cs="Arial"/>
          <w:color w:val="000000"/>
        </w:rPr>
        <w:t xml:space="preserve"> </w:t>
      </w:r>
      <w:r w:rsidRPr="00BE2BD2">
        <w:rPr>
          <w:rFonts w:ascii="Arial" w:hAnsi="Arial" w:cs="Arial"/>
          <w:color w:val="000000"/>
        </w:rPr>
        <w:t>and 31 July prior to the respective examination sessions. Students need to be registered with CIMA in</w:t>
      </w:r>
      <w:r w:rsidR="00133569" w:rsidRPr="00BE2BD2">
        <w:rPr>
          <w:rFonts w:ascii="Arial" w:hAnsi="Arial" w:cs="Arial"/>
          <w:color w:val="000000"/>
        </w:rPr>
        <w:t xml:space="preserve"> </w:t>
      </w:r>
      <w:r w:rsidRPr="00BE2BD2">
        <w:rPr>
          <w:rFonts w:ascii="Arial" w:hAnsi="Arial" w:cs="Arial"/>
          <w:color w:val="000000"/>
        </w:rPr>
        <w:t>order to write the examinations.</w:t>
      </w:r>
    </w:p>
    <w:p w:rsidR="009B17A2" w:rsidRPr="00BE2BD2" w:rsidRDefault="009B17A2" w:rsidP="009B17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BE2BD2">
        <w:rPr>
          <w:rFonts w:ascii="Arial" w:hAnsi="Arial" w:cs="Arial"/>
          <w:color w:val="000000"/>
        </w:rPr>
        <w:t>Assessment of the theoretical component is done through examinations. Examination centres are</w:t>
      </w:r>
      <w:r w:rsidR="00133569" w:rsidRPr="00BE2BD2">
        <w:rPr>
          <w:rFonts w:ascii="Arial" w:hAnsi="Arial" w:cs="Arial"/>
          <w:color w:val="000000"/>
        </w:rPr>
        <w:t xml:space="preserve"> </w:t>
      </w:r>
      <w:r w:rsidRPr="00BE2BD2">
        <w:rPr>
          <w:rFonts w:ascii="Arial" w:hAnsi="Arial" w:cs="Arial"/>
          <w:color w:val="000000"/>
        </w:rPr>
        <w:t>available nationally.</w:t>
      </w:r>
    </w:p>
    <w:p w:rsidR="009B17A2" w:rsidRPr="00BE2BD2" w:rsidRDefault="009B17A2" w:rsidP="009B17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BE2BD2">
        <w:rPr>
          <w:rFonts w:ascii="Arial" w:hAnsi="Arial" w:cs="Arial"/>
          <w:color w:val="000000"/>
        </w:rPr>
        <w:t>Assessment of the practical experience will be done via a logbook. The logbook will be assessed by a</w:t>
      </w:r>
      <w:r w:rsidR="00133569" w:rsidRPr="00BE2BD2">
        <w:rPr>
          <w:rFonts w:ascii="Arial" w:hAnsi="Arial" w:cs="Arial"/>
          <w:color w:val="000000"/>
        </w:rPr>
        <w:t xml:space="preserve"> </w:t>
      </w:r>
      <w:r w:rsidRPr="00BE2BD2">
        <w:rPr>
          <w:rFonts w:ascii="Arial" w:hAnsi="Arial" w:cs="Arial"/>
          <w:color w:val="000000"/>
        </w:rPr>
        <w:t>CIMA registered assessor to ensure that all the practical experience requirements have been met.</w:t>
      </w:r>
    </w:p>
    <w:p w:rsidR="00133569" w:rsidRPr="00BE2BD2" w:rsidRDefault="00133569" w:rsidP="009B17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9B17A2" w:rsidRPr="00BE2BD2" w:rsidRDefault="009B17A2" w:rsidP="009B17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BE2BD2">
        <w:rPr>
          <w:rFonts w:ascii="Arial" w:hAnsi="Arial" w:cs="Arial"/>
          <w:b/>
          <w:bCs/>
          <w:color w:val="000000"/>
        </w:rPr>
        <w:t>Learnership registration information</w:t>
      </w:r>
    </w:p>
    <w:p w:rsidR="009B17A2" w:rsidRPr="00BE2BD2" w:rsidRDefault="009B17A2" w:rsidP="009B17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BE2BD2">
        <w:rPr>
          <w:rFonts w:ascii="Arial" w:hAnsi="Arial" w:cs="Arial"/>
          <w:color w:val="000000"/>
        </w:rPr>
        <w:t>In order to register, the following is needed:</w:t>
      </w:r>
    </w:p>
    <w:p w:rsidR="009B17A2" w:rsidRPr="00BE2BD2" w:rsidRDefault="009B17A2" w:rsidP="009B17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BE2BD2">
        <w:rPr>
          <w:rFonts w:ascii="Arial" w:hAnsi="Arial" w:cs="Arial"/>
          <w:color w:val="000000"/>
        </w:rPr>
        <w:t>• Companies must become CIMA Training Partners or CIMA Quality Partners</w:t>
      </w:r>
    </w:p>
    <w:p w:rsidR="009B17A2" w:rsidRPr="00BE2BD2" w:rsidRDefault="009B17A2" w:rsidP="009B17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BE2BD2">
        <w:rPr>
          <w:rFonts w:ascii="Arial" w:hAnsi="Arial" w:cs="Arial"/>
          <w:color w:val="000000"/>
        </w:rPr>
        <w:t>• Learners must be registered with CIMA</w:t>
      </w:r>
    </w:p>
    <w:p w:rsidR="009B17A2" w:rsidRPr="00BE2BD2" w:rsidRDefault="009B17A2" w:rsidP="009B17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BE2BD2">
        <w:rPr>
          <w:rFonts w:ascii="Arial" w:hAnsi="Arial" w:cs="Arial"/>
          <w:color w:val="000000"/>
        </w:rPr>
        <w:t>• A learnership agreement must be signed (the agreement of the SETA with which the organisation is</w:t>
      </w:r>
      <w:r w:rsidR="00133569" w:rsidRPr="00BE2BD2">
        <w:rPr>
          <w:rFonts w:ascii="Arial" w:hAnsi="Arial" w:cs="Arial"/>
          <w:color w:val="000000"/>
        </w:rPr>
        <w:t xml:space="preserve"> </w:t>
      </w:r>
      <w:r w:rsidRPr="00BE2BD2">
        <w:rPr>
          <w:rFonts w:ascii="Arial" w:hAnsi="Arial" w:cs="Arial"/>
          <w:color w:val="000000"/>
        </w:rPr>
        <w:t>registered)</w:t>
      </w:r>
    </w:p>
    <w:p w:rsidR="009B17A2" w:rsidRPr="00BE2BD2" w:rsidRDefault="009B17A2" w:rsidP="009B17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BE2BD2">
        <w:rPr>
          <w:rFonts w:ascii="Arial" w:hAnsi="Arial" w:cs="Arial"/>
          <w:color w:val="000000"/>
        </w:rPr>
        <w:t>• Copy of the learner’s Identity Document</w:t>
      </w:r>
    </w:p>
    <w:p w:rsidR="009B17A2" w:rsidRPr="00BE2BD2" w:rsidRDefault="009B17A2" w:rsidP="009B17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BE2BD2">
        <w:rPr>
          <w:rFonts w:ascii="Arial" w:hAnsi="Arial" w:cs="Arial"/>
          <w:color w:val="000000"/>
        </w:rPr>
        <w:t>• Copy of the learner’s employment contract</w:t>
      </w:r>
    </w:p>
    <w:p w:rsidR="009B17A2" w:rsidRPr="00BE2BD2" w:rsidRDefault="009B17A2" w:rsidP="009B17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BE2BD2">
        <w:rPr>
          <w:rFonts w:ascii="Arial" w:hAnsi="Arial" w:cs="Arial"/>
          <w:color w:val="000000"/>
        </w:rPr>
        <w:t>• Proof that levy payments are up to date</w:t>
      </w:r>
    </w:p>
    <w:p w:rsidR="009B17A2" w:rsidRPr="00BE2BD2" w:rsidRDefault="009B17A2" w:rsidP="009B17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BE2BD2">
        <w:rPr>
          <w:rFonts w:ascii="Arial" w:hAnsi="Arial" w:cs="Arial"/>
          <w:color w:val="000000"/>
        </w:rPr>
        <w:t>• Proof that the workplace skills plan has been approved</w:t>
      </w:r>
    </w:p>
    <w:p w:rsidR="009B17A2" w:rsidRPr="00BE2BD2" w:rsidRDefault="009B17A2" w:rsidP="009B17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BE2BD2">
        <w:rPr>
          <w:rFonts w:ascii="Arial" w:hAnsi="Arial" w:cs="Arial"/>
          <w:color w:val="000000"/>
        </w:rPr>
        <w:t>• All documentation must be sent to CIMA for verification. CIMA will contact the relevant SETA’s in</w:t>
      </w:r>
      <w:r w:rsidR="00133569" w:rsidRPr="00BE2BD2">
        <w:rPr>
          <w:rFonts w:ascii="Arial" w:hAnsi="Arial" w:cs="Arial"/>
          <w:color w:val="000000"/>
        </w:rPr>
        <w:t xml:space="preserve"> </w:t>
      </w:r>
      <w:r w:rsidRPr="00BE2BD2">
        <w:rPr>
          <w:rFonts w:ascii="Arial" w:hAnsi="Arial" w:cs="Arial"/>
          <w:color w:val="000000"/>
        </w:rPr>
        <w:t>order to register the learnerships.</w:t>
      </w:r>
    </w:p>
    <w:p w:rsidR="00133569" w:rsidRPr="00BE2BD2" w:rsidRDefault="00133569" w:rsidP="009B17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9B17A2" w:rsidRPr="00BE2BD2" w:rsidRDefault="009B17A2" w:rsidP="009B17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BE2BD2">
        <w:rPr>
          <w:rFonts w:ascii="Arial" w:hAnsi="Arial" w:cs="Arial"/>
          <w:b/>
          <w:bCs/>
          <w:color w:val="000000"/>
        </w:rPr>
        <w:t>Contact Details:</w:t>
      </w:r>
    </w:p>
    <w:p w:rsidR="009B17A2" w:rsidRPr="00BE2BD2" w:rsidRDefault="009B17A2" w:rsidP="009B17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BE2BD2">
        <w:rPr>
          <w:rFonts w:ascii="Arial" w:hAnsi="Arial" w:cs="Arial"/>
          <w:color w:val="000000"/>
        </w:rPr>
        <w:t xml:space="preserve">Professional Body: Chartered Institute of Management Accountants </w:t>
      </w:r>
      <w:r w:rsidR="00133569" w:rsidRPr="00BE2BD2">
        <w:rPr>
          <w:rFonts w:ascii="Arial" w:hAnsi="Arial" w:cs="Arial"/>
          <w:color w:val="000000"/>
        </w:rPr>
        <w:t>(CIMA</w:t>
      </w:r>
      <w:r w:rsidRPr="00BE2BD2">
        <w:rPr>
          <w:rFonts w:ascii="Arial" w:hAnsi="Arial" w:cs="Arial"/>
          <w:color w:val="000000"/>
        </w:rPr>
        <w:t>)</w:t>
      </w:r>
    </w:p>
    <w:p w:rsidR="009B17A2" w:rsidRPr="00BE2BD2" w:rsidRDefault="009B17A2" w:rsidP="009B17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BE2BD2">
        <w:rPr>
          <w:rFonts w:ascii="Arial" w:hAnsi="Arial" w:cs="Arial"/>
          <w:color w:val="000000"/>
        </w:rPr>
        <w:t>Contact</w:t>
      </w:r>
      <w:r w:rsidR="006B16AD" w:rsidRPr="00BE2BD2">
        <w:rPr>
          <w:rFonts w:ascii="Arial" w:hAnsi="Arial" w:cs="Arial"/>
          <w:color w:val="000000"/>
        </w:rPr>
        <w:t>: Business Development</w:t>
      </w:r>
      <w:r w:rsidR="00BE2BD2">
        <w:rPr>
          <w:rFonts w:ascii="Arial" w:hAnsi="Arial" w:cs="Arial"/>
          <w:color w:val="000000"/>
        </w:rPr>
        <w:t xml:space="preserve"> Manager</w:t>
      </w:r>
    </w:p>
    <w:p w:rsidR="009B17A2" w:rsidRPr="00BE2BD2" w:rsidRDefault="009B17A2" w:rsidP="009B17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BE2BD2">
        <w:rPr>
          <w:rFonts w:ascii="Arial" w:hAnsi="Arial" w:cs="Arial"/>
          <w:color w:val="000000"/>
        </w:rPr>
        <w:t>Tel: (011) 788 8723</w:t>
      </w:r>
    </w:p>
    <w:p w:rsidR="009B17A2" w:rsidRPr="00BE2BD2" w:rsidRDefault="009B17A2" w:rsidP="009B17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BE2BD2">
        <w:rPr>
          <w:rFonts w:ascii="Arial" w:hAnsi="Arial" w:cs="Arial"/>
          <w:color w:val="000000"/>
        </w:rPr>
        <w:t>Fax: (011) 788 8724</w:t>
      </w:r>
    </w:p>
    <w:p w:rsidR="009B17A2" w:rsidRPr="00BE2BD2" w:rsidRDefault="009B17A2" w:rsidP="009B17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</w:rPr>
      </w:pPr>
      <w:r w:rsidRPr="00BE2BD2">
        <w:rPr>
          <w:rFonts w:ascii="Arial" w:hAnsi="Arial" w:cs="Arial"/>
          <w:color w:val="000000"/>
        </w:rPr>
        <w:t xml:space="preserve">E-mail: </w:t>
      </w:r>
      <w:r w:rsidR="006B16AD" w:rsidRPr="00BE2BD2">
        <w:rPr>
          <w:rFonts w:ascii="Arial" w:hAnsi="Arial" w:cs="Arial"/>
          <w:color w:val="0000FF"/>
        </w:rPr>
        <w:t>johannesburg@cimaglobal.com</w:t>
      </w:r>
    </w:p>
    <w:p w:rsidR="00E92D77" w:rsidRPr="00BE2BD2" w:rsidRDefault="009B17A2" w:rsidP="009B17A2">
      <w:pPr>
        <w:rPr>
          <w:rFonts w:ascii="Arial" w:hAnsi="Arial" w:cs="Arial"/>
        </w:rPr>
      </w:pPr>
      <w:r w:rsidRPr="00BE2BD2">
        <w:rPr>
          <w:rFonts w:ascii="Arial" w:hAnsi="Arial" w:cs="Arial"/>
          <w:color w:val="000000"/>
        </w:rPr>
        <w:t xml:space="preserve">Web: </w:t>
      </w:r>
      <w:r w:rsidRPr="00BE2BD2">
        <w:rPr>
          <w:rFonts w:ascii="Arial" w:hAnsi="Arial" w:cs="Arial"/>
          <w:color w:val="0000FF"/>
        </w:rPr>
        <w:t>www.cimaglobal.com</w:t>
      </w:r>
    </w:p>
    <w:sectPr w:rsidR="00E92D77" w:rsidRPr="00BE2BD2" w:rsidSect="00E92D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345470"/>
    <w:multiLevelType w:val="multilevel"/>
    <w:tmpl w:val="0DCCB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0C432D6"/>
    <w:multiLevelType w:val="multilevel"/>
    <w:tmpl w:val="04360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96B161D"/>
    <w:multiLevelType w:val="multilevel"/>
    <w:tmpl w:val="3342B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8793DB1"/>
    <w:multiLevelType w:val="multilevel"/>
    <w:tmpl w:val="C5ACF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3A677DA"/>
    <w:multiLevelType w:val="multilevel"/>
    <w:tmpl w:val="93D28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0FB5396"/>
    <w:multiLevelType w:val="multilevel"/>
    <w:tmpl w:val="DF86B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17A2"/>
    <w:rsid w:val="00022D18"/>
    <w:rsid w:val="00116BF4"/>
    <w:rsid w:val="00133569"/>
    <w:rsid w:val="0013701D"/>
    <w:rsid w:val="00221498"/>
    <w:rsid w:val="00432B6C"/>
    <w:rsid w:val="004544A7"/>
    <w:rsid w:val="004F5EC6"/>
    <w:rsid w:val="006B16AD"/>
    <w:rsid w:val="006F3358"/>
    <w:rsid w:val="007D5415"/>
    <w:rsid w:val="00845F5D"/>
    <w:rsid w:val="00920603"/>
    <w:rsid w:val="00984A41"/>
    <w:rsid w:val="009B17A2"/>
    <w:rsid w:val="00B3011D"/>
    <w:rsid w:val="00BE2BD2"/>
    <w:rsid w:val="00CD1B6A"/>
    <w:rsid w:val="00CD3B69"/>
    <w:rsid w:val="00CE4B6B"/>
    <w:rsid w:val="00E36F3D"/>
    <w:rsid w:val="00E92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33569"/>
    <w:rPr>
      <w:color w:val="0000FF" w:themeColor="hyperlink"/>
      <w:u w:val="single"/>
    </w:rPr>
  </w:style>
  <w:style w:type="paragraph" w:customStyle="1" w:styleId="intro">
    <w:name w:val="intro"/>
    <w:basedOn w:val="Normal"/>
    <w:rsid w:val="006F33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Strong">
    <w:name w:val="Strong"/>
    <w:basedOn w:val="DefaultParagraphFont"/>
    <w:uiPriority w:val="22"/>
    <w:qFormat/>
    <w:rsid w:val="006F335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33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335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F335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next w:val="TableGrid"/>
    <w:uiPriority w:val="59"/>
    <w:rsid w:val="00221498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33569"/>
    <w:rPr>
      <w:color w:val="0000FF" w:themeColor="hyperlink"/>
      <w:u w:val="single"/>
    </w:rPr>
  </w:style>
  <w:style w:type="paragraph" w:customStyle="1" w:styleId="intro">
    <w:name w:val="intro"/>
    <w:basedOn w:val="Normal"/>
    <w:rsid w:val="006F33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Strong">
    <w:name w:val="Strong"/>
    <w:basedOn w:val="DefaultParagraphFont"/>
    <w:uiPriority w:val="22"/>
    <w:qFormat/>
    <w:rsid w:val="006F335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33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335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F335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next w:val="TableGrid"/>
    <w:uiPriority w:val="59"/>
    <w:rsid w:val="00221498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050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07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5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0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813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002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709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9738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275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8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58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440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375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041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7431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485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45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0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28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237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833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2080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4199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529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41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06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03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949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17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2464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569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7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9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0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703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034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223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2027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392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2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58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74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557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648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125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cimagloba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619</Words>
  <Characters>3531</Characters>
  <Application>Microsoft Office Word</Application>
  <DocSecurity>4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NomadloziB</dc:creator>
  <cp:lastModifiedBy>NomadloziB</cp:lastModifiedBy>
  <cp:revision>2</cp:revision>
  <dcterms:created xsi:type="dcterms:W3CDTF">2013-11-14T05:41:00Z</dcterms:created>
  <dcterms:modified xsi:type="dcterms:W3CDTF">2013-11-14T05:41:00Z</dcterms:modified>
</cp:coreProperties>
</file>