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4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414"/>
        <w:gridCol w:w="1080"/>
      </w:tblGrid>
      <w:tr w:rsidR="00412342" w:rsidRPr="00412342" w:rsidTr="00682E4F">
        <w:trPr>
          <w:jc w:val="center"/>
        </w:trPr>
        <w:tc>
          <w:tcPr>
            <w:tcW w:w="9414" w:type="dxa"/>
            <w:vAlign w:val="center"/>
          </w:tcPr>
          <w:p w:rsidR="00412342" w:rsidRPr="00A001E7" w:rsidRDefault="00412342" w:rsidP="00682E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1234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Fasset Learnerships: </w:t>
            </w:r>
            <w:r w:rsidRPr="00A001E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Professional Qualification: Chartered</w:t>
            </w:r>
          </w:p>
          <w:p w:rsidR="00412342" w:rsidRPr="00412342" w:rsidRDefault="00412342" w:rsidP="00682E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Management Accountant </w:t>
            </w:r>
            <w:r w:rsidRPr="00412342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>Learnership</w:t>
            </w:r>
          </w:p>
        </w:tc>
        <w:tc>
          <w:tcPr>
            <w:tcW w:w="1080" w:type="dxa"/>
            <w:vAlign w:val="center"/>
          </w:tcPr>
          <w:p w:rsidR="00412342" w:rsidRPr="00412342" w:rsidRDefault="00412342" w:rsidP="00682E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sz w:val="20"/>
                <w:szCs w:val="18"/>
                <w:lang w:val="en-GB"/>
              </w:rPr>
            </w:pPr>
            <w:r w:rsidRPr="00412342">
              <w:rPr>
                <w:rFonts w:ascii="Arial" w:eastAsia="Times New Roman" w:hAnsi="Arial" w:cs="Arial"/>
                <w:b/>
                <w:iCs/>
                <w:noProof/>
                <w:sz w:val="32"/>
                <w:szCs w:val="24"/>
              </w:rPr>
              <w:drawing>
                <wp:inline distT="0" distB="0" distL="0" distR="0" wp14:anchorId="166B57C0" wp14:editId="2F12265C">
                  <wp:extent cx="504825" cy="561975"/>
                  <wp:effectExtent l="19050" t="0" r="9525" b="0"/>
                  <wp:docPr id="2" name="Picture 2" descr="Fasse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se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342" w:rsidRPr="00412342" w:rsidRDefault="00412342" w:rsidP="00412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103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76"/>
        <w:gridCol w:w="7938"/>
      </w:tblGrid>
      <w:tr w:rsidR="00412342" w:rsidRPr="00412342" w:rsidTr="00682E4F">
        <w:trPr>
          <w:trHeight w:val="340"/>
        </w:trPr>
        <w:tc>
          <w:tcPr>
            <w:tcW w:w="2376" w:type="dxa"/>
            <w:vAlign w:val="center"/>
          </w:tcPr>
          <w:p w:rsidR="00412342" w:rsidRPr="00412342" w:rsidRDefault="00412342" w:rsidP="00682E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lang w:val="en-US"/>
              </w:rPr>
            </w:pPr>
            <w:r w:rsidRPr="00412342">
              <w:rPr>
                <w:rFonts w:ascii="Arial" w:hAnsi="Arial" w:cs="Arial"/>
                <w:bCs/>
                <w:color w:val="000000"/>
                <w:lang w:val="en-US"/>
              </w:rPr>
              <w:t>Professional Body:</w:t>
            </w:r>
          </w:p>
        </w:tc>
        <w:tc>
          <w:tcPr>
            <w:tcW w:w="7938" w:type="dxa"/>
            <w:vAlign w:val="center"/>
          </w:tcPr>
          <w:p w:rsidR="00412342" w:rsidRPr="00412342" w:rsidRDefault="00412342" w:rsidP="00682E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 w:rsidRPr="00A001E7">
              <w:rPr>
                <w:rFonts w:ascii="Arial" w:hAnsi="Arial" w:cs="Arial"/>
                <w:color w:val="000000"/>
              </w:rPr>
              <w:t>Chartered Institute of Management Accountants (CIMA)</w:t>
            </w:r>
          </w:p>
        </w:tc>
      </w:tr>
      <w:tr w:rsidR="00412342" w:rsidRPr="00412342" w:rsidTr="00682E4F">
        <w:trPr>
          <w:trHeight w:val="340"/>
        </w:trPr>
        <w:tc>
          <w:tcPr>
            <w:tcW w:w="2376" w:type="dxa"/>
            <w:vAlign w:val="center"/>
          </w:tcPr>
          <w:p w:rsidR="00412342" w:rsidRPr="00412342" w:rsidRDefault="00412342" w:rsidP="00682E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lang w:val="en-US"/>
              </w:rPr>
            </w:pPr>
            <w:r w:rsidRPr="00412342">
              <w:rPr>
                <w:rFonts w:ascii="Arial" w:hAnsi="Arial" w:cs="Arial"/>
                <w:bCs/>
                <w:color w:val="000000"/>
                <w:lang w:val="en-US"/>
              </w:rPr>
              <w:t>Learnership Title:</w:t>
            </w:r>
          </w:p>
        </w:tc>
        <w:tc>
          <w:tcPr>
            <w:tcW w:w="7938" w:type="dxa"/>
            <w:vAlign w:val="center"/>
          </w:tcPr>
          <w:p w:rsidR="00412342" w:rsidRPr="00412342" w:rsidRDefault="00412342" w:rsidP="00682E4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val="en-US"/>
              </w:rPr>
            </w:pPr>
            <w:r w:rsidRPr="00A001E7">
              <w:rPr>
                <w:rFonts w:ascii="Arial" w:hAnsi="Arial" w:cs="Arial"/>
                <w:color w:val="000000"/>
              </w:rPr>
              <w:t>Chartered Management Accountant</w:t>
            </w:r>
            <w:r w:rsidRPr="00412342">
              <w:rPr>
                <w:rFonts w:ascii="Arial" w:hAnsi="Arial" w:cs="Arial"/>
                <w:bCs/>
                <w:color w:val="000000"/>
                <w:lang w:val="en-US"/>
              </w:rPr>
              <w:t xml:space="preserve"> Learnership</w:t>
            </w:r>
          </w:p>
        </w:tc>
      </w:tr>
      <w:tr w:rsidR="00412342" w:rsidRPr="00412342" w:rsidTr="00682E4F">
        <w:trPr>
          <w:trHeight w:val="340"/>
        </w:trPr>
        <w:tc>
          <w:tcPr>
            <w:tcW w:w="2376" w:type="dxa"/>
            <w:vAlign w:val="center"/>
          </w:tcPr>
          <w:p w:rsidR="00412342" w:rsidRPr="00412342" w:rsidRDefault="00412342" w:rsidP="00682E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lang w:val="en-US"/>
              </w:rPr>
            </w:pPr>
            <w:r w:rsidRPr="00412342">
              <w:rPr>
                <w:rFonts w:ascii="Arial" w:hAnsi="Arial" w:cs="Arial"/>
                <w:bCs/>
                <w:color w:val="000000"/>
                <w:lang w:val="en-US"/>
              </w:rPr>
              <w:t>Learnership Code:</w:t>
            </w:r>
          </w:p>
        </w:tc>
        <w:tc>
          <w:tcPr>
            <w:tcW w:w="7938" w:type="dxa"/>
            <w:vAlign w:val="center"/>
          </w:tcPr>
          <w:p w:rsidR="00412342" w:rsidRPr="00412342" w:rsidRDefault="00412342" w:rsidP="00682E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lang w:val="en-US"/>
              </w:rPr>
            </w:pPr>
            <w:r w:rsidRPr="00A001E7">
              <w:rPr>
                <w:rFonts w:ascii="Arial" w:hAnsi="Arial" w:cs="Arial"/>
                <w:color w:val="000000"/>
              </w:rPr>
              <w:t>01/Q010012/00/930/7</w:t>
            </w:r>
          </w:p>
        </w:tc>
      </w:tr>
      <w:tr w:rsidR="00412342" w:rsidRPr="00412342" w:rsidTr="00682E4F">
        <w:trPr>
          <w:trHeight w:val="314"/>
        </w:trPr>
        <w:tc>
          <w:tcPr>
            <w:tcW w:w="2376" w:type="dxa"/>
            <w:vAlign w:val="center"/>
          </w:tcPr>
          <w:p w:rsidR="00412342" w:rsidRPr="00412342" w:rsidRDefault="00412342" w:rsidP="00682E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lang w:val="en-US"/>
              </w:rPr>
            </w:pPr>
            <w:r w:rsidRPr="00412342">
              <w:rPr>
                <w:rFonts w:ascii="Arial" w:hAnsi="Arial" w:cs="Arial"/>
                <w:bCs/>
                <w:color w:val="000000"/>
                <w:lang w:val="en-US"/>
              </w:rPr>
              <w:t>NQF Level:</w:t>
            </w:r>
          </w:p>
        </w:tc>
        <w:tc>
          <w:tcPr>
            <w:tcW w:w="7938" w:type="dxa"/>
            <w:vAlign w:val="center"/>
          </w:tcPr>
          <w:p w:rsidR="00412342" w:rsidRPr="00412342" w:rsidRDefault="00412342" w:rsidP="00682E4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412342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7</w:t>
            </w:r>
          </w:p>
        </w:tc>
      </w:tr>
    </w:tbl>
    <w:p w:rsidR="00412342" w:rsidRDefault="00412342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 xml:space="preserve">The Chartered Institute of Management Accountants (CIMA) is a global body that operates in </w:t>
      </w:r>
      <w:r w:rsidR="00155D98" w:rsidRPr="00A001E7">
        <w:rPr>
          <w:rFonts w:ascii="Arial" w:hAnsi="Arial" w:cs="Arial"/>
          <w:color w:val="000000"/>
        </w:rPr>
        <w:t>173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 xml:space="preserve">countries, supports over </w:t>
      </w:r>
      <w:r w:rsidR="00155D98" w:rsidRPr="00A001E7">
        <w:rPr>
          <w:rFonts w:ascii="Arial" w:hAnsi="Arial" w:cs="Arial"/>
          <w:color w:val="000000"/>
        </w:rPr>
        <w:t>203,000</w:t>
      </w:r>
      <w:r w:rsidRPr="00A001E7">
        <w:rPr>
          <w:rFonts w:ascii="Arial" w:hAnsi="Arial" w:cs="Arial"/>
          <w:color w:val="000000"/>
        </w:rPr>
        <w:t xml:space="preserve"> members and students. CIMA’s focus is to qualify students, support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>members and employers, and protect the public interest. The function of the Chartered Management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>Accountant Learnership is to specialise the learner in the field of management accounting and to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>prepare them to take on directorship responsibilities.</w:t>
      </w:r>
    </w:p>
    <w:p w:rsidR="00283E1D" w:rsidRPr="00A001E7" w:rsidRDefault="00283E1D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001E7">
        <w:rPr>
          <w:rFonts w:ascii="Arial" w:hAnsi="Arial" w:cs="Arial"/>
          <w:b/>
          <w:bCs/>
          <w:color w:val="000000"/>
        </w:rPr>
        <w:t>Entrance Requirements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The minimum entrance requirements for the Chartered Management Accounting Learnership are as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>follows:</w:t>
      </w:r>
    </w:p>
    <w:p w:rsidR="00283E1D" w:rsidRPr="00A001E7" w:rsidRDefault="00283E1D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 xml:space="preserve">• Successful completion of the CIMA </w:t>
      </w:r>
      <w:r w:rsidR="00155D98" w:rsidRPr="00A001E7">
        <w:rPr>
          <w:rFonts w:ascii="Arial" w:hAnsi="Arial" w:cs="Arial"/>
          <w:color w:val="000000"/>
        </w:rPr>
        <w:t xml:space="preserve">Advanced </w:t>
      </w:r>
      <w:r w:rsidRPr="00A001E7">
        <w:rPr>
          <w:rFonts w:ascii="Arial" w:hAnsi="Arial" w:cs="Arial"/>
          <w:color w:val="000000"/>
        </w:rPr>
        <w:t>Diploma in Management Accounting learnership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• B</w:t>
      </w:r>
      <w:r w:rsidR="00155D98" w:rsidRPr="00A001E7">
        <w:rPr>
          <w:rFonts w:ascii="Arial" w:hAnsi="Arial" w:cs="Arial"/>
          <w:color w:val="000000"/>
        </w:rPr>
        <w:t xml:space="preserve">achelor of </w:t>
      </w:r>
      <w:r w:rsidRPr="00A001E7">
        <w:rPr>
          <w:rFonts w:ascii="Arial" w:hAnsi="Arial" w:cs="Arial"/>
          <w:color w:val="000000"/>
        </w:rPr>
        <w:t>Com</w:t>
      </w:r>
      <w:r w:rsidR="00155D98" w:rsidRPr="00A001E7">
        <w:rPr>
          <w:rFonts w:ascii="Arial" w:hAnsi="Arial" w:cs="Arial"/>
          <w:color w:val="000000"/>
        </w:rPr>
        <w:t>merce</w:t>
      </w:r>
      <w:r w:rsidRPr="00A001E7">
        <w:rPr>
          <w:rFonts w:ascii="Arial" w:hAnsi="Arial" w:cs="Arial"/>
          <w:color w:val="000000"/>
        </w:rPr>
        <w:t xml:space="preserve"> or equivalent qualification that has been awarded exemptions by CIMA for the Foundation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>and Intermediate levels of CIMA. Qualifications that have received exemptions are listed on our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 xml:space="preserve">website at </w:t>
      </w:r>
      <w:hyperlink r:id="rId9" w:history="1">
        <w:r w:rsidR="00283E1D" w:rsidRPr="00A001E7">
          <w:rPr>
            <w:rStyle w:val="Hyperlink"/>
            <w:rFonts w:ascii="Arial" w:hAnsi="Arial" w:cs="Arial"/>
          </w:rPr>
          <w:t>www.cimaglobal.com</w:t>
        </w:r>
      </w:hyperlink>
    </w:p>
    <w:p w:rsidR="00283E1D" w:rsidRPr="00A001E7" w:rsidRDefault="00283E1D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001E7">
        <w:rPr>
          <w:rFonts w:ascii="Arial" w:hAnsi="Arial" w:cs="Arial"/>
          <w:b/>
          <w:bCs/>
          <w:color w:val="000000"/>
        </w:rPr>
        <w:t>Syllabus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Like all learnerships, the Chartered Management Accounting qualification has a theoretical component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>and a practical component.</w:t>
      </w:r>
    </w:p>
    <w:p w:rsidR="00283E1D" w:rsidRPr="00A001E7" w:rsidRDefault="00283E1D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57"/>
      </w:tblGrid>
      <w:tr w:rsidR="00663321" w:rsidRPr="00A001E7" w:rsidTr="00FE70EF">
        <w:tc>
          <w:tcPr>
            <w:tcW w:w="3085" w:type="dxa"/>
            <w:shd w:val="clear" w:color="auto" w:fill="auto"/>
          </w:tcPr>
          <w:p w:rsidR="00663321" w:rsidRPr="00A001E7" w:rsidRDefault="00663321" w:rsidP="0066332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A001E7">
              <w:rPr>
                <w:rFonts w:ascii="Arial" w:hAnsi="Arial" w:cs="Arial"/>
                <w:b/>
                <w:bCs/>
              </w:rPr>
              <w:t>Theoretical</w:t>
            </w:r>
          </w:p>
        </w:tc>
        <w:tc>
          <w:tcPr>
            <w:tcW w:w="6157" w:type="dxa"/>
          </w:tcPr>
          <w:p w:rsidR="00663321" w:rsidRPr="00A001E7" w:rsidRDefault="00663321" w:rsidP="00C768B5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</w:p>
        </w:tc>
      </w:tr>
      <w:tr w:rsidR="00155D98" w:rsidRPr="00A001E7" w:rsidTr="00FE70EF">
        <w:tc>
          <w:tcPr>
            <w:tcW w:w="3085" w:type="dxa"/>
            <w:shd w:val="clear" w:color="auto" w:fill="auto"/>
          </w:tcPr>
          <w:p w:rsidR="00155D98" w:rsidRPr="00A001E7" w:rsidRDefault="00155D98" w:rsidP="00155D9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A001E7">
              <w:rPr>
                <w:rFonts w:ascii="Arial" w:hAnsi="Arial" w:cs="Arial"/>
                <w:bCs/>
              </w:rPr>
              <w:t>E3: Enterprise Strategy</w:t>
            </w:r>
          </w:p>
        </w:tc>
        <w:tc>
          <w:tcPr>
            <w:tcW w:w="6157" w:type="dxa"/>
          </w:tcPr>
          <w:p w:rsidR="00155D98" w:rsidRPr="00A001E7" w:rsidRDefault="00C768B5" w:rsidP="00C768B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82"/>
              </w:rPr>
            </w:pPr>
            <w:r w:rsidRPr="00A001E7">
              <w:rPr>
                <w:rFonts w:ascii="Arial" w:eastAsia="Times New Roman" w:hAnsi="Arial" w:cs="Arial"/>
                <w:bCs/>
                <w:lang w:val="en-GB" w:eastAsia="en-GB"/>
              </w:rPr>
              <w:t>Interacting with the competitive environment, Change management, Evaluation of strategic options, Implementation of strategic plans.</w:t>
            </w:r>
          </w:p>
        </w:tc>
      </w:tr>
      <w:tr w:rsidR="00155D98" w:rsidRPr="00A001E7" w:rsidTr="00FE70EF">
        <w:tc>
          <w:tcPr>
            <w:tcW w:w="3085" w:type="dxa"/>
          </w:tcPr>
          <w:p w:rsidR="00155D98" w:rsidRPr="00A001E7" w:rsidRDefault="00155D98" w:rsidP="00155D9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A001E7">
              <w:rPr>
                <w:rFonts w:ascii="Arial" w:hAnsi="Arial" w:cs="Arial"/>
                <w:bCs/>
              </w:rPr>
              <w:t>P3: Performance Strategy</w:t>
            </w:r>
          </w:p>
        </w:tc>
        <w:tc>
          <w:tcPr>
            <w:tcW w:w="6157" w:type="dxa"/>
          </w:tcPr>
          <w:p w:rsidR="00155D98" w:rsidRPr="00A001E7" w:rsidRDefault="00C768B5" w:rsidP="00C768B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82"/>
              </w:rPr>
            </w:pPr>
            <w:r w:rsidRPr="00A001E7">
              <w:rPr>
                <w:rFonts w:ascii="Arial" w:eastAsia="Times New Roman" w:hAnsi="Arial" w:cs="Arial"/>
                <w:lang w:val="en-GB" w:eastAsia="en-GB"/>
              </w:rPr>
              <w:t xml:space="preserve">Management control systems, Risk and internal control, Review and audit of control systems, Management of financial risk, Risk and control in information systems </w:t>
            </w:r>
          </w:p>
        </w:tc>
      </w:tr>
      <w:tr w:rsidR="00155D98" w:rsidRPr="00A001E7" w:rsidTr="00C768B5">
        <w:trPr>
          <w:trHeight w:val="70"/>
        </w:trPr>
        <w:tc>
          <w:tcPr>
            <w:tcW w:w="3085" w:type="dxa"/>
          </w:tcPr>
          <w:p w:rsidR="00155D98" w:rsidRPr="00A001E7" w:rsidRDefault="00155D98" w:rsidP="00604A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A001E7">
              <w:rPr>
                <w:rFonts w:ascii="Arial" w:hAnsi="Arial" w:cs="Arial"/>
                <w:bCs/>
              </w:rPr>
              <w:t>F3: Financial Strategy</w:t>
            </w:r>
          </w:p>
        </w:tc>
        <w:tc>
          <w:tcPr>
            <w:tcW w:w="6157" w:type="dxa"/>
          </w:tcPr>
          <w:p w:rsidR="00155D98" w:rsidRPr="00A001E7" w:rsidRDefault="00C768B5" w:rsidP="00C768B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82"/>
              </w:rPr>
            </w:pPr>
            <w:r w:rsidRPr="00A001E7">
              <w:rPr>
                <w:rFonts w:ascii="Arial" w:eastAsia="Times New Roman" w:hAnsi="Arial" w:cs="Arial"/>
                <w:bCs/>
                <w:lang w:val="en-GB" w:eastAsia="en-GB"/>
              </w:rPr>
              <w:t>Formulation of financial strategy, Financing decisions, Investment decisions and project control </w:t>
            </w:r>
          </w:p>
        </w:tc>
      </w:tr>
      <w:tr w:rsidR="00663321" w:rsidRPr="00A001E7" w:rsidTr="00C768B5">
        <w:trPr>
          <w:trHeight w:val="70"/>
        </w:trPr>
        <w:tc>
          <w:tcPr>
            <w:tcW w:w="3085" w:type="dxa"/>
          </w:tcPr>
          <w:p w:rsidR="00663321" w:rsidRPr="00A001E7" w:rsidRDefault="00663321" w:rsidP="00604AD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A001E7">
              <w:rPr>
                <w:rFonts w:ascii="Arial" w:hAnsi="Arial" w:cs="Arial"/>
                <w:bCs/>
              </w:rPr>
              <w:t>T4 Part B</w:t>
            </w:r>
          </w:p>
        </w:tc>
        <w:tc>
          <w:tcPr>
            <w:tcW w:w="6157" w:type="dxa"/>
          </w:tcPr>
          <w:p w:rsidR="00663321" w:rsidRPr="00A001E7" w:rsidRDefault="00663321" w:rsidP="00C768B5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lang w:val="en-GB" w:eastAsia="en-GB"/>
              </w:rPr>
            </w:pPr>
            <w:r w:rsidRPr="00A001E7">
              <w:rPr>
                <w:rFonts w:ascii="Arial" w:hAnsi="Arial" w:cs="Arial"/>
                <w:color w:val="000000"/>
              </w:rPr>
              <w:t>Test of Professional Competence in Management Accounting</w:t>
            </w:r>
          </w:p>
        </w:tc>
      </w:tr>
      <w:tr w:rsidR="00663321" w:rsidRPr="00A001E7" w:rsidTr="00C768B5">
        <w:trPr>
          <w:trHeight w:val="70"/>
        </w:trPr>
        <w:tc>
          <w:tcPr>
            <w:tcW w:w="3085" w:type="dxa"/>
          </w:tcPr>
          <w:p w:rsidR="00663321" w:rsidRPr="00A001E7" w:rsidRDefault="00663321" w:rsidP="00604AD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A001E7">
              <w:rPr>
                <w:rFonts w:ascii="Arial" w:hAnsi="Arial" w:cs="Arial"/>
                <w:b/>
                <w:bCs/>
              </w:rPr>
              <w:t>Practical</w:t>
            </w:r>
          </w:p>
        </w:tc>
        <w:tc>
          <w:tcPr>
            <w:tcW w:w="6157" w:type="dxa"/>
          </w:tcPr>
          <w:p w:rsidR="00663321" w:rsidRPr="00A001E7" w:rsidRDefault="00663321" w:rsidP="00C5115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A001E7">
              <w:rPr>
                <w:rFonts w:ascii="Arial" w:hAnsi="Arial" w:cs="Arial"/>
                <w:color w:val="000000"/>
              </w:rPr>
              <w:t>Taxation</w:t>
            </w:r>
          </w:p>
        </w:tc>
      </w:tr>
      <w:tr w:rsidR="00663321" w:rsidRPr="00A001E7" w:rsidTr="00C768B5">
        <w:trPr>
          <w:trHeight w:val="70"/>
        </w:trPr>
        <w:tc>
          <w:tcPr>
            <w:tcW w:w="3085" w:type="dxa"/>
          </w:tcPr>
          <w:p w:rsidR="00663321" w:rsidRPr="00A001E7" w:rsidRDefault="00663321" w:rsidP="00604AD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157" w:type="dxa"/>
          </w:tcPr>
          <w:p w:rsidR="00663321" w:rsidRPr="00A001E7" w:rsidRDefault="00663321" w:rsidP="00C5115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A001E7">
              <w:rPr>
                <w:rFonts w:ascii="Arial" w:hAnsi="Arial" w:cs="Arial"/>
                <w:color w:val="000000"/>
              </w:rPr>
              <w:t>Business Evaluation and Appraisal</w:t>
            </w:r>
          </w:p>
        </w:tc>
      </w:tr>
      <w:tr w:rsidR="00663321" w:rsidRPr="00A001E7" w:rsidTr="00C768B5">
        <w:trPr>
          <w:trHeight w:val="70"/>
        </w:trPr>
        <w:tc>
          <w:tcPr>
            <w:tcW w:w="3085" w:type="dxa"/>
          </w:tcPr>
          <w:p w:rsidR="00663321" w:rsidRPr="00A001E7" w:rsidRDefault="00663321" w:rsidP="00604AD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157" w:type="dxa"/>
          </w:tcPr>
          <w:p w:rsidR="00663321" w:rsidRPr="00A001E7" w:rsidRDefault="00663321" w:rsidP="00C5115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A001E7">
              <w:rPr>
                <w:rFonts w:ascii="Arial" w:hAnsi="Arial" w:cs="Arial"/>
                <w:color w:val="000000"/>
              </w:rPr>
              <w:t>Business Strategy</w:t>
            </w:r>
          </w:p>
        </w:tc>
      </w:tr>
      <w:tr w:rsidR="00663321" w:rsidRPr="00A001E7" w:rsidTr="00C768B5">
        <w:trPr>
          <w:trHeight w:val="70"/>
        </w:trPr>
        <w:tc>
          <w:tcPr>
            <w:tcW w:w="3085" w:type="dxa"/>
          </w:tcPr>
          <w:p w:rsidR="00663321" w:rsidRPr="00A001E7" w:rsidRDefault="00663321" w:rsidP="00604AD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157" w:type="dxa"/>
          </w:tcPr>
          <w:p w:rsidR="00663321" w:rsidRPr="00A001E7" w:rsidRDefault="00663321" w:rsidP="00C5115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A001E7">
              <w:rPr>
                <w:rFonts w:ascii="Arial" w:hAnsi="Arial" w:cs="Arial"/>
                <w:color w:val="000000"/>
              </w:rPr>
              <w:t>External Relationships</w:t>
            </w:r>
          </w:p>
        </w:tc>
      </w:tr>
    </w:tbl>
    <w:p w:rsidR="00155D98" w:rsidRPr="00A001E7" w:rsidRDefault="00155D98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2"/>
        </w:rPr>
      </w:pP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A minimum of twelve months practical experience is required.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Practical experience can be obtained while students are completing the theoretical element of the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>learnership. This learnership typically runs for 12 months.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001E7">
        <w:rPr>
          <w:rFonts w:ascii="Arial" w:hAnsi="Arial" w:cs="Arial"/>
          <w:b/>
          <w:bCs/>
          <w:color w:val="000000"/>
        </w:rPr>
        <w:t>Examinations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lastRenderedPageBreak/>
        <w:t>CIMA has two examination sessions per year, May and November. Registration closes 31 January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>and 31 July prior to the respective examination sessions. Students need to be registered with CIMA in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>order to write the examinations.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Assessment of the theoretical component is done through examinations. Examination centres are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>available nationally.</w:t>
      </w:r>
      <w:r w:rsidR="00A001E7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>Assessment of the practical experience will be done via a logbook. The logbook will be assessed by a</w:t>
      </w:r>
      <w:r w:rsidR="00A001E7" w:rsidRPr="00A001E7">
        <w:rPr>
          <w:rFonts w:ascii="Arial" w:hAnsi="Arial" w:cs="Arial"/>
          <w:color w:val="000000"/>
        </w:rPr>
        <w:t xml:space="preserve"> CIMA registered assessor to ensure that all the practical experience requirements have been met.</w:t>
      </w:r>
      <w:r w:rsidRPr="00A001E7">
        <w:rPr>
          <w:rFonts w:ascii="Arial" w:hAnsi="Arial" w:cs="Arial"/>
          <w:color w:val="000000"/>
        </w:rPr>
        <w:t>.</w:t>
      </w:r>
    </w:p>
    <w:p w:rsidR="00283E1D" w:rsidRPr="00A001E7" w:rsidRDefault="00283E1D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001E7">
        <w:rPr>
          <w:rFonts w:ascii="Arial" w:hAnsi="Arial" w:cs="Arial"/>
          <w:b/>
          <w:bCs/>
          <w:color w:val="000000"/>
        </w:rPr>
        <w:t>Learnership registration information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In order to register, the following is needed: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• Companies must become CIMA Training Partners or CIMA Quality Partners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• Learners must be registered with CIMA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• A learnership agreement must be signed (the agreement of the SETA with which the organisation is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>registered)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• Copy of the learner’s Identity Document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• Copy of the learner’s employment contract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• Proof that levy payments are up to date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• Proof that the workplace skills plan has been approved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• All documentation must be sent to CIMA for verification. CIMA will contact the relevant SETA’s in</w:t>
      </w:r>
      <w:r w:rsidR="00283E1D" w:rsidRPr="00A001E7">
        <w:rPr>
          <w:rFonts w:ascii="Arial" w:hAnsi="Arial" w:cs="Arial"/>
          <w:color w:val="000000"/>
        </w:rPr>
        <w:t xml:space="preserve"> </w:t>
      </w:r>
      <w:r w:rsidRPr="00A001E7">
        <w:rPr>
          <w:rFonts w:ascii="Arial" w:hAnsi="Arial" w:cs="Arial"/>
          <w:color w:val="000000"/>
        </w:rPr>
        <w:t>order to register the learnerships.</w:t>
      </w:r>
    </w:p>
    <w:p w:rsidR="00283E1D" w:rsidRPr="00A001E7" w:rsidRDefault="00283E1D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001E7">
        <w:rPr>
          <w:rFonts w:ascii="Arial" w:hAnsi="Arial" w:cs="Arial"/>
          <w:b/>
          <w:bCs/>
          <w:color w:val="000000"/>
        </w:rPr>
        <w:t>Contact Details: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 xml:space="preserve">Professional Body: Chartered Institute of Management Accountants </w:t>
      </w:r>
      <w:r w:rsidR="00BA3FA6" w:rsidRPr="00A001E7">
        <w:rPr>
          <w:rFonts w:ascii="Arial" w:hAnsi="Arial" w:cs="Arial"/>
          <w:color w:val="000000"/>
        </w:rPr>
        <w:t>(CIMA</w:t>
      </w:r>
      <w:r w:rsidRPr="00A001E7">
        <w:rPr>
          <w:rFonts w:ascii="Arial" w:hAnsi="Arial" w:cs="Arial"/>
          <w:color w:val="000000"/>
        </w:rPr>
        <w:t>)</w:t>
      </w:r>
    </w:p>
    <w:p w:rsidR="00604AD6" w:rsidRPr="00A001E7" w:rsidRDefault="00663321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 xml:space="preserve">Contact: Business Development </w:t>
      </w:r>
      <w:r w:rsidR="00A001E7" w:rsidRPr="00A001E7">
        <w:rPr>
          <w:rFonts w:ascii="Arial" w:hAnsi="Arial" w:cs="Arial"/>
          <w:color w:val="000000"/>
        </w:rPr>
        <w:t>Manager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Tel: (011) 788 8723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1E7">
        <w:rPr>
          <w:rFonts w:ascii="Arial" w:hAnsi="Arial" w:cs="Arial"/>
          <w:color w:val="000000"/>
        </w:rPr>
        <w:t>Fax: (011) 788 8724</w:t>
      </w:r>
    </w:p>
    <w:p w:rsidR="00604AD6" w:rsidRPr="00A001E7" w:rsidRDefault="00604AD6" w:rsidP="00604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A001E7">
        <w:rPr>
          <w:rFonts w:ascii="Arial" w:hAnsi="Arial" w:cs="Arial"/>
          <w:color w:val="000000"/>
        </w:rPr>
        <w:t xml:space="preserve">E-mail: </w:t>
      </w:r>
      <w:r w:rsidR="00663321" w:rsidRPr="00A001E7">
        <w:rPr>
          <w:rFonts w:ascii="Arial" w:hAnsi="Arial" w:cs="Arial"/>
          <w:color w:val="0000FF"/>
        </w:rPr>
        <w:t>johannesburg@cimaglobal.com</w:t>
      </w:r>
    </w:p>
    <w:p w:rsidR="00E92D77" w:rsidRPr="00A001E7" w:rsidRDefault="00604AD6" w:rsidP="00604AD6">
      <w:pPr>
        <w:rPr>
          <w:rFonts w:ascii="Arial" w:hAnsi="Arial" w:cs="Arial"/>
        </w:rPr>
      </w:pPr>
      <w:r w:rsidRPr="00A001E7">
        <w:rPr>
          <w:rFonts w:ascii="Arial" w:hAnsi="Arial" w:cs="Arial"/>
          <w:color w:val="000000"/>
        </w:rPr>
        <w:t xml:space="preserve">Web: </w:t>
      </w:r>
      <w:r w:rsidRPr="00A001E7">
        <w:rPr>
          <w:rFonts w:ascii="Arial" w:hAnsi="Arial" w:cs="Arial"/>
          <w:color w:val="0000FF"/>
        </w:rPr>
        <w:t>www.cimaglobal.com</w:t>
      </w:r>
    </w:p>
    <w:sectPr w:rsidR="00E92D77" w:rsidRPr="00A001E7" w:rsidSect="00412342">
      <w:headerReference w:type="default" r:id="rId10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342" w:rsidRDefault="00412342" w:rsidP="00412342">
      <w:pPr>
        <w:spacing w:after="0" w:line="240" w:lineRule="auto"/>
      </w:pPr>
      <w:r>
        <w:separator/>
      </w:r>
    </w:p>
  </w:endnote>
  <w:endnote w:type="continuationSeparator" w:id="0">
    <w:p w:rsidR="00412342" w:rsidRDefault="00412342" w:rsidP="0041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342" w:rsidRDefault="00412342" w:rsidP="00412342">
      <w:pPr>
        <w:spacing w:after="0" w:line="240" w:lineRule="auto"/>
      </w:pPr>
      <w:r>
        <w:separator/>
      </w:r>
    </w:p>
  </w:footnote>
  <w:footnote w:type="continuationSeparator" w:id="0">
    <w:p w:rsidR="00412342" w:rsidRDefault="00412342" w:rsidP="00412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342" w:rsidRPr="00412342" w:rsidRDefault="00412342" w:rsidP="00412342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  <w:lang w:val="en-US"/>
      </w:rPr>
    </w:pPr>
  </w:p>
  <w:p w:rsidR="00412342" w:rsidRDefault="004123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D498C"/>
    <w:multiLevelType w:val="multilevel"/>
    <w:tmpl w:val="A66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0A34F0"/>
    <w:multiLevelType w:val="multilevel"/>
    <w:tmpl w:val="1126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0378E8"/>
    <w:multiLevelType w:val="multilevel"/>
    <w:tmpl w:val="3A2A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D6"/>
    <w:rsid w:val="0013701D"/>
    <w:rsid w:val="00155D98"/>
    <w:rsid w:val="00283E1D"/>
    <w:rsid w:val="003F1670"/>
    <w:rsid w:val="00412342"/>
    <w:rsid w:val="00604AD6"/>
    <w:rsid w:val="006144A9"/>
    <w:rsid w:val="00663321"/>
    <w:rsid w:val="00774FBB"/>
    <w:rsid w:val="00A001E7"/>
    <w:rsid w:val="00BA3FA6"/>
    <w:rsid w:val="00BA67DC"/>
    <w:rsid w:val="00C768B5"/>
    <w:rsid w:val="00CD3B69"/>
    <w:rsid w:val="00D33316"/>
    <w:rsid w:val="00D43A4E"/>
    <w:rsid w:val="00E92D77"/>
    <w:rsid w:val="00FE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E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5D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768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2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42"/>
  </w:style>
  <w:style w:type="paragraph" w:styleId="Footer">
    <w:name w:val="footer"/>
    <w:basedOn w:val="Normal"/>
    <w:link w:val="FooterChar"/>
    <w:uiPriority w:val="99"/>
    <w:unhideWhenUsed/>
    <w:rsid w:val="00412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E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5D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768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2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42"/>
  </w:style>
  <w:style w:type="paragraph" w:styleId="Footer">
    <w:name w:val="footer"/>
    <w:basedOn w:val="Normal"/>
    <w:link w:val="FooterChar"/>
    <w:uiPriority w:val="99"/>
    <w:unhideWhenUsed/>
    <w:rsid w:val="00412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1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3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5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ima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NomadloziB</dc:creator>
  <cp:lastModifiedBy>NomadloziB</cp:lastModifiedBy>
  <cp:revision>3</cp:revision>
  <dcterms:created xsi:type="dcterms:W3CDTF">2013-11-14T05:45:00Z</dcterms:created>
  <dcterms:modified xsi:type="dcterms:W3CDTF">2013-11-14T05:46:00Z</dcterms:modified>
</cp:coreProperties>
</file>