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D8D63" w14:textId="4C412B37" w:rsidR="0086525E" w:rsidRDefault="00A66079" w:rsidP="3D43DD34">
      <w:pPr>
        <w:rPr>
          <w:rFonts w:ascii="Lato" w:eastAsia="Lato" w:hAnsi="Lato" w:cs="Lato"/>
        </w:rPr>
      </w:pPr>
      <w:r w:rsidRPr="007C0109">
        <w:rPr>
          <w:rFonts w:ascii="Lato" w:eastAsia="Lato" w:hAnsi="Lato" w:cs="Lato"/>
          <w:noProof/>
          <w:color w:val="4C483D"/>
          <w:sz w:val="20"/>
          <w:szCs w:val="20"/>
        </w:rPr>
        <mc:AlternateContent>
          <mc:Choice Requires="wps">
            <w:drawing>
              <wp:anchor distT="0" distB="0" distL="114300" distR="114300" simplePos="0" relativeHeight="251665408" behindDoc="0" locked="0" layoutInCell="1" allowOverlap="1" wp14:anchorId="0E02D43C" wp14:editId="6141E672">
                <wp:simplePos x="0" y="0"/>
                <wp:positionH relativeFrom="column">
                  <wp:posOffset>3291205</wp:posOffset>
                </wp:positionH>
                <wp:positionV relativeFrom="paragraph">
                  <wp:posOffset>122555</wp:posOffset>
                </wp:positionV>
                <wp:extent cx="3159125" cy="45085"/>
                <wp:effectExtent l="0" t="0" r="3175" b="0"/>
                <wp:wrapNone/>
                <wp:docPr id="650397930" name="Rectangle 1"/>
                <wp:cNvGraphicFramePr/>
                <a:graphic xmlns:a="http://schemas.openxmlformats.org/drawingml/2006/main">
                  <a:graphicData uri="http://schemas.microsoft.com/office/word/2010/wordprocessingShape">
                    <wps:wsp>
                      <wps:cNvSpPr/>
                      <wps:spPr>
                        <a:xfrm>
                          <a:off x="0" y="0"/>
                          <a:ext cx="3159125" cy="45085"/>
                        </a:xfrm>
                        <a:prstGeom prst="rect">
                          <a:avLst/>
                        </a:prstGeom>
                        <a:solidFill>
                          <a:srgbClr val="F4364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9D3B4E0" id="Rectangle 1" o:spid="_x0000_s1026" style="position:absolute;margin-left:259.15pt;margin-top:9.65pt;width:248.75pt;height:3.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" fillcolor="#f4364c" stroked="f" strokeweight="1pt"/>
            </w:pict>
          </mc:Fallback>
        </mc:AlternateContent>
      </w:r>
      <w:r w:rsidRPr="007C0109">
        <w:rPr>
          <w:rFonts w:ascii="Lato" w:hAnsi="Lato"/>
          <w:noProof/>
        </w:rPr>
        <mc:AlternateContent>
          <mc:Choice Requires="wps">
            <w:drawing>
              <wp:anchor distT="0" distB="0" distL="114300" distR="114300" simplePos="0" relativeHeight="251661312" behindDoc="0" locked="0" layoutInCell="1" allowOverlap="1" wp14:anchorId="779F8C6C" wp14:editId="6069A678">
                <wp:simplePos x="0" y="0"/>
                <wp:positionH relativeFrom="margin">
                  <wp:posOffset>3291840</wp:posOffset>
                </wp:positionH>
                <wp:positionV relativeFrom="paragraph">
                  <wp:posOffset>-702945</wp:posOffset>
                </wp:positionV>
                <wp:extent cx="3159125" cy="786511"/>
                <wp:effectExtent l="0" t="0" r="3175" b="0"/>
                <wp:wrapNone/>
                <wp:docPr id="20" name="Rectangle 1"/>
                <wp:cNvGraphicFramePr/>
                <a:graphic xmlns:a="http://schemas.openxmlformats.org/drawingml/2006/main">
                  <a:graphicData uri="http://schemas.microsoft.com/office/word/2010/wordprocessingShape">
                    <wps:wsp>
                      <wps:cNvSpPr/>
                      <wps:spPr>
                        <a:xfrm>
                          <a:off x="0" y="0"/>
                          <a:ext cx="3159125" cy="786511"/>
                        </a:xfrm>
                        <a:prstGeom prst="rect">
                          <a:avLst/>
                        </a:prstGeom>
                        <a:solidFill>
                          <a:srgbClr val="3C539A"/>
                        </a:solidFill>
                        <a:ln w="9525" cap="flat" cmpd="sng">
                          <a:noFill/>
                          <a:prstDash val="solid"/>
                          <a:miter lim="800000"/>
                          <a:headEnd type="none" w="sm" len="sm"/>
                          <a:tailEnd type="none" w="sm" len="sm"/>
                        </a:ln>
                      </wps:spPr>
                      <wps:txbx>
                        <w:txbxContent>
                          <w:p w14:paraId="55F622C7" w14:textId="3C60B4BD" w:rsidR="0086525E" w:rsidRPr="00410245" w:rsidRDefault="0086525E" w:rsidP="0086525E">
                            <w:pPr>
                              <w:spacing w:after="0" w:line="240" w:lineRule="auto"/>
                              <w:textDirection w:val="btLr"/>
                              <w:rPr>
                                <w:rFonts w:ascii="Lato" w:hAnsi="Lato"/>
                                <w:b/>
                                <w:bCs/>
                                <w:color w:val="FFFFFF" w:themeColor="background1"/>
                                <w:sz w:val="56"/>
                                <w:szCs w:val="56"/>
                              </w:rPr>
                            </w:pPr>
                            <w:r>
                              <w:rPr>
                                <w:rFonts w:ascii="Lato" w:hAnsi="Lato"/>
                                <w:b/>
                                <w:bCs/>
                                <w:color w:val="FFFFFF" w:themeColor="background1"/>
                                <w:sz w:val="56"/>
                                <w:szCs w:val="56"/>
                                <w:lang w:val="es-CO"/>
                              </w:rPr>
                              <w:t>Order Form</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79F8C6C" id="Rectangle 1" o:spid="_x0000_s1026" style="position:absolute;margin-left:259.2pt;margin-top:-55.35pt;width:248.75pt;height:61.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" fillcolor="#3c539a" stroked="f">
                <v:stroke startarrowwidth="narrow" startarrowlength="short" endarrowwidth="narrow" endarrowlength="short"/>
                <v:textbox inset="2.53958mm,2.53958mm,2.53958mm,2.53958mm">
                  <w:txbxContent>
                    <w:p w14:paraId="55F622C7" w14:textId="3C60B4BD" w:rsidR="0086525E" w:rsidRPr="00410245" w:rsidRDefault="0086525E" w:rsidP="0086525E">
                      <w:pPr>
                        <w:spacing w:after="0" w:line="240" w:lineRule="auto"/>
                        <w:textDirection w:val="btLr"/>
                        <w:rPr>
                          <w:rFonts w:ascii="Lato" w:hAnsi="Lato"/>
                          <w:b/>
                          <w:bCs/>
                          <w:color w:val="FFFFFF" w:themeColor="background1"/>
                          <w:sz w:val="56"/>
                          <w:szCs w:val="56"/>
                        </w:rPr>
                      </w:pPr>
                      <w:r>
                        <w:rPr>
                          <w:rFonts w:ascii="Lato" w:hAnsi="Lato"/>
                          <w:b/>
                          <w:bCs/>
                          <w:color w:val="FFFFFF" w:themeColor="background1"/>
                          <w:sz w:val="56"/>
                          <w:szCs w:val="56"/>
                          <w:lang w:val="es-CO"/>
                        </w:rPr>
                        <w:t>Order Form</w:t>
                      </w:r>
                    </w:p>
                  </w:txbxContent>
                </v:textbox>
                <w10:wrap anchorx="margin"/>
              </v:rect>
            </w:pict>
          </mc:Fallback>
        </mc:AlternateContent>
      </w:r>
      <w:r w:rsidR="0086525E" w:rsidRPr="007C0109">
        <w:rPr>
          <w:rFonts w:ascii="Lato" w:eastAsia="Lato" w:hAnsi="Lato" w:cs="Lato"/>
          <w:noProof/>
          <w:color w:val="4C483D"/>
          <w:sz w:val="20"/>
          <w:szCs w:val="20"/>
        </w:rPr>
        <mc:AlternateContent>
          <mc:Choice Requires="wps">
            <w:drawing>
              <wp:anchor distT="0" distB="0" distL="114300" distR="114300" simplePos="0" relativeHeight="251667456" behindDoc="0" locked="0" layoutInCell="1" allowOverlap="1" wp14:anchorId="39B73BEB" wp14:editId="36E6AE51">
                <wp:simplePos x="0" y="0"/>
                <wp:positionH relativeFrom="column">
                  <wp:posOffset>5426529</wp:posOffset>
                </wp:positionH>
                <wp:positionV relativeFrom="paragraph">
                  <wp:posOffset>-435428</wp:posOffset>
                </wp:positionV>
                <wp:extent cx="1396365" cy="337458"/>
                <wp:effectExtent l="0" t="0" r="0" b="5715"/>
                <wp:wrapNone/>
                <wp:docPr id="1051512320" name="Text Box 5"/>
                <wp:cNvGraphicFramePr/>
                <a:graphic xmlns:a="http://schemas.openxmlformats.org/drawingml/2006/main">
                  <a:graphicData uri="http://schemas.microsoft.com/office/word/2010/wordprocessingShape">
                    <wps:wsp>
                      <wps:cNvSpPr txBox="1"/>
                      <wps:spPr>
                        <a:xfrm>
                          <a:off x="0" y="0"/>
                          <a:ext cx="1396365" cy="337458"/>
                        </a:xfrm>
                        <a:prstGeom prst="rect">
                          <a:avLst/>
                        </a:prstGeom>
                        <a:noFill/>
                        <a:ln w="6350">
                          <a:noFill/>
                        </a:ln>
                      </wps:spPr>
                      <wps:txbx>
                        <w:txbxContent>
                          <w:p w14:paraId="35D8022C" w14:textId="11BFE570" w:rsidR="0086525E" w:rsidRPr="00584FEC" w:rsidRDefault="0086525E" w:rsidP="0086525E">
                            <w:pPr>
                              <w:spacing w:after="0" w:line="240" w:lineRule="auto"/>
                              <w:rPr>
                                <w:rFonts w:ascii="Lato" w:hAnsi="Lato" w:cs="Arial"/>
                                <w:color w:val="FFFFFF"/>
                                <w:sz w:val="14"/>
                                <w:szCs w:val="14"/>
                                <w:highlight w:val="yellow"/>
                              </w:rPr>
                            </w:pPr>
                            <w:r w:rsidRPr="00584FEC">
                              <w:rPr>
                                <w:rFonts w:ascii="Lato" w:hAnsi="Lato" w:cs="Arial"/>
                                <w:color w:val="FFFFFF"/>
                                <w:sz w:val="14"/>
                                <w:szCs w:val="14"/>
                                <w:highlight w:val="yellow"/>
                              </w:rPr>
                              <w:t>0</w:t>
                            </w:r>
                            <w:r w:rsidR="001E5791" w:rsidRPr="00584FEC">
                              <w:rPr>
                                <w:rFonts w:ascii="Lato" w:hAnsi="Lato" w:cs="Arial"/>
                                <w:color w:val="FFFFFF"/>
                                <w:sz w:val="14"/>
                                <w:szCs w:val="14"/>
                                <w:highlight w:val="yellow"/>
                              </w:rPr>
                              <w:t>0/00</w:t>
                            </w:r>
                            <w:r w:rsidRPr="00584FEC">
                              <w:rPr>
                                <w:rFonts w:ascii="Lato" w:hAnsi="Lato" w:cs="Arial"/>
                                <w:color w:val="FFFFFF"/>
                                <w:sz w:val="14"/>
                                <w:szCs w:val="14"/>
                                <w:highlight w:val="yellow"/>
                              </w:rPr>
                              <w:t>/202</w:t>
                            </w:r>
                            <w:r w:rsidR="00EC578B" w:rsidRPr="00584FEC">
                              <w:rPr>
                                <w:rFonts w:ascii="Lato" w:hAnsi="Lato" w:cs="Arial"/>
                                <w:color w:val="FFFFFF"/>
                                <w:sz w:val="14"/>
                                <w:szCs w:val="14"/>
                                <w:highlight w:val="yellow"/>
                              </w:rPr>
                              <w:t>6</w:t>
                            </w:r>
                          </w:p>
                          <w:p w14:paraId="5F5E4B8A" w14:textId="701099B6" w:rsidR="0086525E" w:rsidRDefault="0086525E" w:rsidP="0086525E">
                            <w:pPr>
                              <w:spacing w:after="0" w:line="240" w:lineRule="auto"/>
                              <w:rPr>
                                <w:rFonts w:ascii="Lato" w:hAnsi="Lato" w:cs="Arial"/>
                                <w:color w:val="FFFFFF"/>
                                <w:sz w:val="14"/>
                                <w:szCs w:val="14"/>
                              </w:rPr>
                            </w:pPr>
                            <w:r w:rsidRPr="00584FEC">
                              <w:rPr>
                                <w:rFonts w:ascii="Lato" w:hAnsi="Lato" w:cs="Arial"/>
                                <w:color w:val="FFFFFF"/>
                                <w:sz w:val="14"/>
                                <w:szCs w:val="14"/>
                                <w:highlight w:val="yellow"/>
                              </w:rPr>
                              <w:t>Q-0</w:t>
                            </w:r>
                            <w:r w:rsidR="001E5791" w:rsidRPr="00584FEC">
                              <w:rPr>
                                <w:rFonts w:ascii="Lato" w:hAnsi="Lato" w:cs="Arial"/>
                                <w:color w:val="FFFFFF"/>
                                <w:sz w:val="14"/>
                                <w:szCs w:val="14"/>
                                <w:highlight w:val="yellow"/>
                              </w:rPr>
                              <w:t>000</w:t>
                            </w:r>
                          </w:p>
                          <w:p w14:paraId="02BF21E4" w14:textId="77777777" w:rsidR="0086525E" w:rsidRDefault="0086525E" w:rsidP="008652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39B73BEB" id="_x0000_t202" coordsize="21600,21600" o:spt="202" path="m,l,21600r21600,l21600,xe">
                <v:stroke joinstyle="miter"/>
                <v:path gradientshapeok="t" o:connecttype="rect"/>
              </v:shapetype>
              <v:shape id="Text Box 5" o:spid="_x0000_s1027" type="#_x0000_t202" style="position:absolute;margin-left:427.3pt;margin-top:-34.3pt;width:109.95pt;height:26.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" filled="f" stroked="f" strokeweight=".5pt">
                <v:textbox>
                  <w:txbxContent>
                    <w:p w14:paraId="35D8022C" w14:textId="11BFE570" w:rsidR="0086525E" w:rsidRPr="00584FEC" w:rsidRDefault="0086525E" w:rsidP="0086525E">
                      <w:pPr>
                        <w:spacing w:after="0" w:line="240" w:lineRule="auto"/>
                        <w:rPr>
                          <w:rFonts w:ascii="Lato" w:hAnsi="Lato" w:cs="Arial"/>
                          <w:color w:val="FFFFFF"/>
                          <w:sz w:val="14"/>
                          <w:szCs w:val="14"/>
                          <w:highlight w:val="yellow"/>
                        </w:rPr>
                      </w:pPr>
                      <w:r w:rsidRPr="00584FEC">
                        <w:rPr>
                          <w:rFonts w:ascii="Lato" w:hAnsi="Lato" w:cs="Arial"/>
                          <w:color w:val="FFFFFF"/>
                          <w:sz w:val="14"/>
                          <w:szCs w:val="14"/>
                          <w:highlight w:val="yellow"/>
                        </w:rPr>
                        <w:t>0</w:t>
                      </w:r>
                      <w:r w:rsidR="001E5791" w:rsidRPr="00584FEC">
                        <w:rPr>
                          <w:rFonts w:ascii="Lato" w:hAnsi="Lato" w:cs="Arial"/>
                          <w:color w:val="FFFFFF"/>
                          <w:sz w:val="14"/>
                          <w:szCs w:val="14"/>
                          <w:highlight w:val="yellow"/>
                        </w:rPr>
                        <w:t>0/00</w:t>
                      </w:r>
                      <w:r w:rsidRPr="00584FEC">
                        <w:rPr>
                          <w:rFonts w:ascii="Lato" w:hAnsi="Lato" w:cs="Arial"/>
                          <w:color w:val="FFFFFF"/>
                          <w:sz w:val="14"/>
                          <w:szCs w:val="14"/>
                          <w:highlight w:val="yellow"/>
                        </w:rPr>
                        <w:t>/202</w:t>
                      </w:r>
                      <w:r w:rsidR="00EC578B" w:rsidRPr="00584FEC">
                        <w:rPr>
                          <w:rFonts w:ascii="Lato" w:hAnsi="Lato" w:cs="Arial"/>
                          <w:color w:val="FFFFFF"/>
                          <w:sz w:val="14"/>
                          <w:szCs w:val="14"/>
                          <w:highlight w:val="yellow"/>
                        </w:rPr>
                        <w:t>6</w:t>
                      </w:r>
                    </w:p>
                    <w:p w14:paraId="5F5E4B8A" w14:textId="701099B6" w:rsidR="0086525E" w:rsidRDefault="0086525E" w:rsidP="0086525E">
                      <w:pPr>
                        <w:spacing w:after="0" w:line="240" w:lineRule="auto"/>
                        <w:rPr>
                          <w:rFonts w:ascii="Lato" w:hAnsi="Lato" w:cs="Arial"/>
                          <w:color w:val="FFFFFF"/>
                          <w:sz w:val="14"/>
                          <w:szCs w:val="14"/>
                        </w:rPr>
                      </w:pPr>
                      <w:r w:rsidRPr="00584FEC">
                        <w:rPr>
                          <w:rFonts w:ascii="Lato" w:hAnsi="Lato" w:cs="Arial"/>
                          <w:color w:val="FFFFFF"/>
                          <w:sz w:val="14"/>
                          <w:szCs w:val="14"/>
                          <w:highlight w:val="yellow"/>
                        </w:rPr>
                        <w:t>Q-0</w:t>
                      </w:r>
                      <w:r w:rsidR="001E5791" w:rsidRPr="00584FEC">
                        <w:rPr>
                          <w:rFonts w:ascii="Lato" w:hAnsi="Lato" w:cs="Arial"/>
                          <w:color w:val="FFFFFF"/>
                          <w:sz w:val="14"/>
                          <w:szCs w:val="14"/>
                          <w:highlight w:val="yellow"/>
                        </w:rPr>
                        <w:t>000</w:t>
                      </w:r>
                    </w:p>
                    <w:p w14:paraId="02BF21E4" w14:textId="77777777" w:rsidR="0086525E" w:rsidRDefault="0086525E" w:rsidP="0086525E"/>
                  </w:txbxContent>
                </v:textbox>
              </v:shape>
            </w:pict>
          </mc:Fallback>
        </mc:AlternateContent>
      </w:r>
      <w:r w:rsidR="0086525E" w:rsidRPr="007C0109">
        <w:rPr>
          <w:rFonts w:ascii="Lato" w:eastAsia="Lato" w:hAnsi="Lato" w:cs="Lato"/>
          <w:noProof/>
          <w:color w:val="4C483D"/>
          <w:sz w:val="20"/>
          <w:szCs w:val="20"/>
        </w:rPr>
        <w:drawing>
          <wp:anchor distT="0" distB="0" distL="114300" distR="114300" simplePos="0" relativeHeight="251659264" behindDoc="0" locked="0" layoutInCell="1" allowOverlap="1" wp14:anchorId="23B15A9E" wp14:editId="7B23C2BB">
            <wp:simplePos x="0" y="0"/>
            <wp:positionH relativeFrom="column">
              <wp:posOffset>98425</wp:posOffset>
            </wp:positionH>
            <wp:positionV relativeFrom="paragraph">
              <wp:posOffset>-627289</wp:posOffset>
            </wp:positionV>
            <wp:extent cx="1224543" cy="788289"/>
            <wp:effectExtent l="0" t="0" r="6985" b="0"/>
            <wp:wrapNone/>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543" cy="788289"/>
                    </a:xfrm>
                    <a:prstGeom prst="rect">
                      <a:avLst/>
                    </a:prstGeom>
                  </pic:spPr>
                </pic:pic>
              </a:graphicData>
            </a:graphic>
            <wp14:sizeRelH relativeFrom="margin">
              <wp14:pctWidth>0</wp14:pctWidth>
            </wp14:sizeRelH>
            <wp14:sizeRelV relativeFrom="margin">
              <wp14:pctHeight>0</wp14:pctHeight>
            </wp14:sizeRelV>
          </wp:anchor>
        </w:drawing>
      </w:r>
      <w:r w:rsidR="0086525E" w:rsidRPr="007C0109">
        <w:rPr>
          <w:rFonts w:ascii="Lato" w:eastAsia="Lato" w:hAnsi="Lato" w:cs="Lato"/>
          <w:noProof/>
          <w:color w:val="4C483D"/>
          <w:sz w:val="20"/>
          <w:szCs w:val="20"/>
        </w:rPr>
        <mc:AlternateContent>
          <mc:Choice Requires="wps">
            <w:drawing>
              <wp:anchor distT="0" distB="0" distL="114300" distR="114300" simplePos="0" relativeHeight="251663360" behindDoc="0" locked="0" layoutInCell="1" allowOverlap="1" wp14:anchorId="352BBA9B" wp14:editId="661CABE8">
                <wp:simplePos x="0" y="0"/>
                <wp:positionH relativeFrom="column">
                  <wp:posOffset>3292475</wp:posOffset>
                </wp:positionH>
                <wp:positionV relativeFrom="paragraph">
                  <wp:posOffset>82550</wp:posOffset>
                </wp:positionV>
                <wp:extent cx="3159125" cy="45085"/>
                <wp:effectExtent l="0" t="0" r="3175" b="0"/>
                <wp:wrapNone/>
                <wp:docPr id="1275538469" name="Rectangle 2"/>
                <wp:cNvGraphicFramePr/>
                <a:graphic xmlns:a="http://schemas.openxmlformats.org/drawingml/2006/main">
                  <a:graphicData uri="http://schemas.microsoft.com/office/word/2010/wordprocessingShape">
                    <wps:wsp>
                      <wps:cNvSpPr/>
                      <wps:spPr>
                        <a:xfrm>
                          <a:off x="0" y="0"/>
                          <a:ext cx="3159125" cy="45085"/>
                        </a:xfrm>
                        <a:prstGeom prst="rect">
                          <a:avLst/>
                        </a:prstGeom>
                        <a:solidFill>
                          <a:srgbClr val="00B2A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7CE527FA" id="Rectangle 2" o:spid="_x0000_s1026" style="position:absolute;margin-left:259.25pt;margin-top:6.5pt;width:248.75pt;height:3.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" fillcolor="#00b2a9" stroked="f" strokeweight="1pt"/>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86525E" w14:paraId="3A4E5EC9" w14:textId="77777777" w:rsidTr="3D43DD34">
        <w:tc>
          <w:tcPr>
            <w:tcW w:w="5035" w:type="dxa"/>
          </w:tcPr>
          <w:p w14:paraId="48704F04" w14:textId="77777777" w:rsidR="0086525E" w:rsidRPr="0086525E" w:rsidRDefault="7E80A8E5" w:rsidP="3D43DD34">
            <w:pPr>
              <w:rPr>
                <w:rFonts w:ascii="Lato" w:eastAsia="Lato" w:hAnsi="Lato" w:cs="Lato"/>
                <w:b/>
                <w:bCs/>
                <w:color w:val="008EAA"/>
                <w:sz w:val="18"/>
                <w:szCs w:val="18"/>
              </w:rPr>
            </w:pPr>
            <w:r w:rsidRPr="3D43DD34">
              <w:rPr>
                <w:rFonts w:ascii="Lato" w:eastAsia="Lato" w:hAnsi="Lato" w:cs="Lato"/>
                <w:b/>
                <w:bCs/>
                <w:color w:val="008EAA"/>
                <w:sz w:val="18"/>
                <w:szCs w:val="18"/>
              </w:rPr>
              <w:t>PREPARED FOR</w:t>
            </w:r>
          </w:p>
          <w:p w14:paraId="17941E81" w14:textId="6DFAEA85" w:rsidR="0086525E" w:rsidRPr="00584FEC" w:rsidRDefault="0FAAE3CE" w:rsidP="3D43DD34">
            <w:pPr>
              <w:rPr>
                <w:rFonts w:ascii="Lato" w:eastAsia="Lato" w:hAnsi="Lato" w:cs="Lato"/>
                <w:color w:val="636669"/>
                <w:sz w:val="16"/>
                <w:szCs w:val="16"/>
                <w:highlight w:val="yellow"/>
              </w:rPr>
            </w:pPr>
            <w:r w:rsidRPr="3D43DD34">
              <w:rPr>
                <w:rFonts w:ascii="Lato" w:eastAsia="Lato" w:hAnsi="Lato" w:cs="Lato"/>
                <w:color w:val="636669"/>
                <w:sz w:val="16"/>
                <w:szCs w:val="16"/>
                <w:highlight w:val="yellow"/>
              </w:rPr>
              <w:t>CONTACT NAME</w:t>
            </w:r>
          </w:p>
          <w:p w14:paraId="2862EA5F" w14:textId="5C0B364A" w:rsidR="0086525E" w:rsidRPr="00584FEC" w:rsidRDefault="0FAAE3CE" w:rsidP="3D43DD34">
            <w:pPr>
              <w:rPr>
                <w:rFonts w:ascii="Lato" w:eastAsia="Lato" w:hAnsi="Lato" w:cs="Lato"/>
                <w:color w:val="636669"/>
                <w:sz w:val="16"/>
                <w:szCs w:val="16"/>
                <w:highlight w:val="yellow"/>
              </w:rPr>
            </w:pPr>
            <w:r w:rsidRPr="3D43DD34">
              <w:rPr>
                <w:rFonts w:ascii="Lato" w:eastAsia="Lato" w:hAnsi="Lato" w:cs="Lato"/>
                <w:color w:val="636669"/>
                <w:sz w:val="16"/>
                <w:szCs w:val="16"/>
                <w:highlight w:val="yellow"/>
              </w:rPr>
              <w:t>ACCOUNT NAME</w:t>
            </w:r>
          </w:p>
          <w:p w14:paraId="75C5F821" w14:textId="549674A9" w:rsidR="0086525E" w:rsidRPr="00584FEC" w:rsidRDefault="0FAAE3CE" w:rsidP="3D43DD34">
            <w:pPr>
              <w:rPr>
                <w:rFonts w:ascii="Lato" w:eastAsia="Lato" w:hAnsi="Lato" w:cs="Lato"/>
                <w:color w:val="636669"/>
                <w:sz w:val="16"/>
                <w:szCs w:val="16"/>
                <w:highlight w:val="yellow"/>
              </w:rPr>
            </w:pPr>
            <w:r w:rsidRPr="3D43DD34">
              <w:rPr>
                <w:rFonts w:ascii="Lato" w:eastAsia="Lato" w:hAnsi="Lato" w:cs="Lato"/>
                <w:color w:val="636669"/>
                <w:sz w:val="16"/>
                <w:szCs w:val="16"/>
                <w:highlight w:val="yellow"/>
              </w:rPr>
              <w:t>ADDRESS</w:t>
            </w:r>
          </w:p>
          <w:p w14:paraId="46CCFDFA" w14:textId="42F98E00" w:rsidR="0086525E" w:rsidRPr="00584FEC" w:rsidRDefault="0FAAE3CE" w:rsidP="3D43DD34">
            <w:pPr>
              <w:rPr>
                <w:rFonts w:ascii="Lato" w:eastAsia="Lato" w:hAnsi="Lato" w:cs="Lato"/>
                <w:color w:val="636669"/>
                <w:sz w:val="16"/>
                <w:szCs w:val="16"/>
                <w:highlight w:val="yellow"/>
              </w:rPr>
            </w:pPr>
            <w:r w:rsidRPr="3D43DD34">
              <w:rPr>
                <w:rFonts w:ascii="Lato" w:eastAsia="Lato" w:hAnsi="Lato" w:cs="Lato"/>
                <w:color w:val="636669"/>
                <w:sz w:val="16"/>
                <w:szCs w:val="16"/>
                <w:highlight w:val="yellow"/>
              </w:rPr>
              <w:t>ADDRESS 2</w:t>
            </w:r>
          </w:p>
          <w:p w14:paraId="4138408E" w14:textId="0C73760C" w:rsidR="0086525E" w:rsidRPr="00584FEC" w:rsidRDefault="713C95BD" w:rsidP="3D43DD34">
            <w:pPr>
              <w:rPr>
                <w:rFonts w:ascii="Lato" w:eastAsia="Lato" w:hAnsi="Lato" w:cs="Lato"/>
                <w:color w:val="636669"/>
                <w:sz w:val="16"/>
                <w:szCs w:val="16"/>
                <w:highlight w:val="yellow"/>
              </w:rPr>
            </w:pPr>
            <w:r w:rsidRPr="3D43DD34">
              <w:rPr>
                <w:rFonts w:ascii="Lato" w:eastAsia="Lato" w:hAnsi="Lato" w:cs="Lato"/>
                <w:color w:val="636669"/>
                <w:sz w:val="16"/>
                <w:szCs w:val="16"/>
                <w:highlight w:val="yellow"/>
              </w:rPr>
              <w:t>000-000-0000</w:t>
            </w:r>
          </w:p>
          <w:p w14:paraId="2BEAC2D8" w14:textId="372ED918" w:rsidR="0086525E" w:rsidRDefault="713C95BD" w:rsidP="3D43DD34">
            <w:pPr>
              <w:rPr>
                <w:rFonts w:ascii="Lato" w:eastAsia="Lato" w:hAnsi="Lato" w:cs="Lato"/>
                <w:color w:val="636669"/>
                <w:sz w:val="16"/>
                <w:szCs w:val="16"/>
                <w:highlight w:val="yellow"/>
              </w:rPr>
            </w:pPr>
            <w:r w:rsidRPr="3D43DD34">
              <w:rPr>
                <w:rFonts w:ascii="Lato" w:eastAsia="Lato" w:hAnsi="Lato" w:cs="Lato"/>
                <w:color w:val="636669"/>
                <w:sz w:val="16"/>
                <w:szCs w:val="16"/>
                <w:highlight w:val="yellow"/>
              </w:rPr>
              <w:t>EMAIL ADDRESS</w:t>
            </w:r>
          </w:p>
        </w:tc>
        <w:tc>
          <w:tcPr>
            <w:tcW w:w="5035" w:type="dxa"/>
          </w:tcPr>
          <w:p w14:paraId="601B43D5" w14:textId="53023D5F" w:rsidR="0086525E" w:rsidRPr="0086525E" w:rsidRDefault="7E80A8E5" w:rsidP="3D43DD34">
            <w:pPr>
              <w:rPr>
                <w:rFonts w:ascii="Lato" w:eastAsia="Lato" w:hAnsi="Lato" w:cs="Lato"/>
                <w:b/>
                <w:bCs/>
                <w:color w:val="008EAA"/>
                <w:sz w:val="18"/>
                <w:szCs w:val="18"/>
              </w:rPr>
            </w:pPr>
            <w:r w:rsidRPr="3D43DD34">
              <w:rPr>
                <w:rFonts w:ascii="Lato" w:eastAsia="Lato" w:hAnsi="Lato" w:cs="Lato"/>
                <w:b/>
                <w:bCs/>
                <w:color w:val="008EAA"/>
                <w:sz w:val="18"/>
                <w:szCs w:val="18"/>
              </w:rPr>
              <w:t>PREPARED BY</w:t>
            </w:r>
          </w:p>
          <w:p w14:paraId="110631A7" w14:textId="060AFD84" w:rsidR="0086525E" w:rsidRPr="00584FEC" w:rsidRDefault="713C95BD" w:rsidP="3D43DD34">
            <w:pPr>
              <w:rPr>
                <w:rFonts w:ascii="Lato" w:eastAsia="Lato" w:hAnsi="Lato" w:cs="Lato"/>
                <w:color w:val="636669"/>
                <w:sz w:val="16"/>
                <w:szCs w:val="16"/>
                <w:highlight w:val="yellow"/>
              </w:rPr>
            </w:pPr>
            <w:r w:rsidRPr="3D43DD34">
              <w:rPr>
                <w:rFonts w:ascii="Lato" w:eastAsia="Lato" w:hAnsi="Lato" w:cs="Lato"/>
                <w:color w:val="636669"/>
                <w:sz w:val="16"/>
                <w:szCs w:val="16"/>
                <w:highlight w:val="yellow"/>
              </w:rPr>
              <w:t>SALES REPRESENTATIVE</w:t>
            </w:r>
          </w:p>
          <w:p w14:paraId="35AB7D08" w14:textId="1A50C27B" w:rsidR="0086525E" w:rsidRPr="0086525E" w:rsidRDefault="713C95BD" w:rsidP="3D43DD34">
            <w:pPr>
              <w:rPr>
                <w:rFonts w:ascii="Lato" w:eastAsia="Lato" w:hAnsi="Lato" w:cs="Lato"/>
                <w:color w:val="636669"/>
                <w:sz w:val="16"/>
                <w:szCs w:val="16"/>
              </w:rPr>
            </w:pPr>
            <w:r w:rsidRPr="3D43DD34">
              <w:rPr>
                <w:rFonts w:ascii="Lato" w:eastAsia="Lato" w:hAnsi="Lato" w:cs="Lato"/>
                <w:color w:val="636669"/>
                <w:sz w:val="16"/>
                <w:szCs w:val="16"/>
                <w:highlight w:val="yellow"/>
              </w:rPr>
              <w:t>SALES EMAIL ADDRESS</w:t>
            </w:r>
          </w:p>
          <w:p w14:paraId="6841AB1D" w14:textId="77777777" w:rsidR="0086525E" w:rsidRDefault="0086525E" w:rsidP="3D43DD34">
            <w:pPr>
              <w:rPr>
                <w:rFonts w:ascii="Lato" w:eastAsia="Lato" w:hAnsi="Lato" w:cs="Lato"/>
              </w:rPr>
            </w:pPr>
          </w:p>
        </w:tc>
      </w:tr>
    </w:tbl>
    <w:p w14:paraId="38AC1D20" w14:textId="739BF34B" w:rsidR="00E41E0D" w:rsidRDefault="00E41E0D" w:rsidP="3D43DD34">
      <w:pPr>
        <w:rPr>
          <w:rFonts w:ascii="Lato" w:eastAsia="Lato" w:hAnsi="Lato" w:cs="Lato"/>
        </w:rPr>
      </w:pPr>
    </w:p>
    <w:p w14:paraId="48A2A007" w14:textId="209F0CDE" w:rsidR="0086525E" w:rsidRDefault="22DCC214" w:rsidP="3D43DD34">
      <w:pPr>
        <w:spacing w:after="0" w:line="240" w:lineRule="auto"/>
        <w:jc w:val="center"/>
        <w:rPr>
          <w:rFonts w:ascii="Lato" w:eastAsia="Lato" w:hAnsi="Lato" w:cs="Lato"/>
          <w:b/>
          <w:bCs/>
          <w:color w:val="008EAA"/>
          <w:sz w:val="18"/>
          <w:szCs w:val="18"/>
        </w:rPr>
      </w:pPr>
      <w:r w:rsidRPr="3D43DD34">
        <w:rPr>
          <w:rFonts w:ascii="Lato" w:eastAsia="Lato" w:hAnsi="Lato" w:cs="Lato"/>
          <w:b/>
          <w:bCs/>
          <w:color w:val="008EAA"/>
          <w:sz w:val="18"/>
          <w:szCs w:val="18"/>
        </w:rPr>
        <w:t>PRISMHR GLOBAL WORKFORCE SOLUTIONS – RESELLER SOW</w:t>
      </w:r>
    </w:p>
    <w:p w14:paraId="4A8E45B5" w14:textId="77777777" w:rsidR="00EC578B" w:rsidRPr="0086525E" w:rsidRDefault="00EC578B" w:rsidP="3D43DD34">
      <w:pPr>
        <w:spacing w:after="0" w:line="240" w:lineRule="auto"/>
        <w:jc w:val="center"/>
        <w:rPr>
          <w:rFonts w:ascii="Lato" w:eastAsia="Lato" w:hAnsi="Lato" w:cs="Lato"/>
          <w:b/>
          <w:bCs/>
          <w:color w:val="008EAA"/>
          <w:sz w:val="18"/>
          <w:szCs w:val="18"/>
        </w:rPr>
      </w:pPr>
    </w:p>
    <w:tbl>
      <w:tblPr>
        <w:tblStyle w:val="TableGrid"/>
        <w:tblW w:w="10440" w:type="dxa"/>
        <w:tblInd w:w="-5" w:type="dxa"/>
        <w:tblBorders>
          <w:top w:val="single" w:sz="4" w:space="0" w:color="ADADAD"/>
          <w:left w:val="single" w:sz="4" w:space="0" w:color="ADADAD"/>
          <w:bottom w:val="single" w:sz="4" w:space="0" w:color="ADADAD"/>
          <w:right w:val="single" w:sz="4" w:space="0" w:color="ADADAD"/>
          <w:insideH w:val="single" w:sz="4" w:space="0" w:color="ADADAD"/>
          <w:insideV w:val="single" w:sz="4" w:space="0" w:color="ADADAD"/>
        </w:tblBorders>
        <w:tblLook w:val="04A0" w:firstRow="1" w:lastRow="0" w:firstColumn="1" w:lastColumn="0" w:noHBand="0" w:noVBand="1"/>
      </w:tblPr>
      <w:tblGrid>
        <w:gridCol w:w="3592"/>
        <w:gridCol w:w="1718"/>
        <w:gridCol w:w="1416"/>
        <w:gridCol w:w="2174"/>
        <w:gridCol w:w="1540"/>
      </w:tblGrid>
      <w:tr w:rsidR="00EC578B" w14:paraId="2E5FABF7" w14:textId="77777777" w:rsidTr="3D43DD34">
        <w:trPr>
          <w:trHeight w:val="346"/>
        </w:trPr>
        <w:tc>
          <w:tcPr>
            <w:tcW w:w="3592" w:type="dxa"/>
            <w:shd w:val="clear" w:color="auto" w:fill="3C539A"/>
            <w:vAlign w:val="center"/>
          </w:tcPr>
          <w:p w14:paraId="61384F28" w14:textId="51B7812E" w:rsidR="00EC578B" w:rsidRPr="0086525E" w:rsidRDefault="22DCC214" w:rsidP="3D43DD34">
            <w:pPr>
              <w:jc w:val="center"/>
              <w:rPr>
                <w:rFonts w:ascii="Lato" w:eastAsia="Lato" w:hAnsi="Lato" w:cs="Lato"/>
                <w:b/>
                <w:bCs/>
                <w:color w:val="FFFFFF" w:themeColor="background1"/>
                <w:sz w:val="16"/>
                <w:szCs w:val="16"/>
              </w:rPr>
            </w:pPr>
            <w:r w:rsidRPr="3D43DD34">
              <w:rPr>
                <w:rFonts w:ascii="Lato" w:eastAsia="Lato" w:hAnsi="Lato" w:cs="Lato"/>
                <w:b/>
                <w:bCs/>
                <w:color w:val="FFFFFF" w:themeColor="background1"/>
                <w:sz w:val="16"/>
                <w:szCs w:val="16"/>
              </w:rPr>
              <w:t>I</w:t>
            </w:r>
            <w:r w:rsidR="71E91D4C" w:rsidRPr="3D43DD34">
              <w:rPr>
                <w:rFonts w:ascii="Lato" w:eastAsia="Lato" w:hAnsi="Lato" w:cs="Lato"/>
                <w:b/>
                <w:bCs/>
                <w:color w:val="FFFFFF" w:themeColor="background1"/>
                <w:sz w:val="16"/>
                <w:szCs w:val="16"/>
              </w:rPr>
              <w:t>tem</w:t>
            </w:r>
          </w:p>
        </w:tc>
        <w:tc>
          <w:tcPr>
            <w:tcW w:w="1718" w:type="dxa"/>
            <w:shd w:val="clear" w:color="auto" w:fill="3C539A"/>
            <w:vAlign w:val="center"/>
          </w:tcPr>
          <w:p w14:paraId="28D35AFD" w14:textId="5D7074BB" w:rsidR="00EC578B" w:rsidRPr="0086525E" w:rsidRDefault="71E91D4C" w:rsidP="3D43DD34">
            <w:pPr>
              <w:jc w:val="center"/>
              <w:rPr>
                <w:rFonts w:ascii="Lato" w:eastAsia="Lato" w:hAnsi="Lato" w:cs="Lato"/>
                <w:b/>
                <w:bCs/>
                <w:color w:val="FFFFFF" w:themeColor="background1"/>
                <w:sz w:val="16"/>
                <w:szCs w:val="16"/>
              </w:rPr>
            </w:pPr>
            <w:r w:rsidRPr="3D43DD34">
              <w:rPr>
                <w:rFonts w:ascii="Lato" w:eastAsia="Lato" w:hAnsi="Lato" w:cs="Lato"/>
                <w:b/>
                <w:bCs/>
                <w:color w:val="FFFFFF" w:themeColor="background1"/>
                <w:sz w:val="16"/>
                <w:szCs w:val="16"/>
              </w:rPr>
              <w:t>Billing Frequency</w:t>
            </w:r>
          </w:p>
        </w:tc>
        <w:tc>
          <w:tcPr>
            <w:tcW w:w="1416" w:type="dxa"/>
            <w:shd w:val="clear" w:color="auto" w:fill="3C539A"/>
            <w:vAlign w:val="center"/>
          </w:tcPr>
          <w:p w14:paraId="4F566B42" w14:textId="6740811B" w:rsidR="00EC578B" w:rsidRPr="0086525E" w:rsidRDefault="71E91D4C" w:rsidP="3D43DD34">
            <w:pPr>
              <w:jc w:val="center"/>
              <w:rPr>
                <w:rFonts w:ascii="Lato" w:eastAsia="Lato" w:hAnsi="Lato" w:cs="Lato"/>
                <w:b/>
                <w:bCs/>
                <w:color w:val="FFFFFF" w:themeColor="background1"/>
                <w:sz w:val="16"/>
                <w:szCs w:val="16"/>
              </w:rPr>
            </w:pPr>
            <w:r w:rsidRPr="3D43DD34">
              <w:rPr>
                <w:rFonts w:ascii="Lato" w:eastAsia="Lato" w:hAnsi="Lato" w:cs="Lato"/>
                <w:b/>
                <w:bCs/>
                <w:color w:val="FFFFFF" w:themeColor="background1"/>
                <w:sz w:val="16"/>
                <w:szCs w:val="16"/>
              </w:rPr>
              <w:t>Quantity</w:t>
            </w:r>
          </w:p>
        </w:tc>
        <w:tc>
          <w:tcPr>
            <w:tcW w:w="2174" w:type="dxa"/>
            <w:shd w:val="clear" w:color="auto" w:fill="3C539A"/>
            <w:vAlign w:val="center"/>
          </w:tcPr>
          <w:p w14:paraId="415DAA87" w14:textId="49D91A7E" w:rsidR="00EC578B" w:rsidRPr="0086525E" w:rsidRDefault="71E91D4C" w:rsidP="3D43DD34">
            <w:pPr>
              <w:jc w:val="center"/>
              <w:rPr>
                <w:rFonts w:ascii="Lato" w:eastAsia="Lato" w:hAnsi="Lato" w:cs="Lato"/>
                <w:b/>
                <w:bCs/>
                <w:color w:val="FFFFFF" w:themeColor="background1"/>
                <w:sz w:val="16"/>
                <w:szCs w:val="16"/>
              </w:rPr>
            </w:pPr>
            <w:r w:rsidRPr="3D43DD34">
              <w:rPr>
                <w:rFonts w:ascii="Lato" w:eastAsia="Lato" w:hAnsi="Lato" w:cs="Lato"/>
                <w:b/>
                <w:bCs/>
                <w:color w:val="FFFFFF" w:themeColor="background1"/>
                <w:sz w:val="16"/>
                <w:szCs w:val="16"/>
              </w:rPr>
              <w:t>Sales Price</w:t>
            </w:r>
          </w:p>
        </w:tc>
        <w:tc>
          <w:tcPr>
            <w:tcW w:w="1540" w:type="dxa"/>
            <w:shd w:val="clear" w:color="auto" w:fill="3C539A"/>
            <w:vAlign w:val="center"/>
          </w:tcPr>
          <w:p w14:paraId="4163D7EE" w14:textId="0D3CF3C8" w:rsidR="00EC578B" w:rsidRPr="0086525E" w:rsidRDefault="71E91D4C" w:rsidP="3D43DD34">
            <w:pPr>
              <w:jc w:val="center"/>
              <w:rPr>
                <w:rFonts w:ascii="Lato" w:eastAsia="Lato" w:hAnsi="Lato" w:cs="Lato"/>
                <w:b/>
                <w:bCs/>
                <w:color w:val="FFFFFF" w:themeColor="background1"/>
                <w:sz w:val="16"/>
                <w:szCs w:val="16"/>
              </w:rPr>
            </w:pPr>
            <w:r w:rsidRPr="3D43DD34">
              <w:rPr>
                <w:rFonts w:ascii="Lato" w:eastAsia="Lato" w:hAnsi="Lato" w:cs="Lato"/>
                <w:b/>
                <w:bCs/>
                <w:color w:val="FFFFFF" w:themeColor="background1"/>
                <w:sz w:val="16"/>
                <w:szCs w:val="16"/>
              </w:rPr>
              <w:t>Total Price</w:t>
            </w:r>
          </w:p>
        </w:tc>
      </w:tr>
    </w:tbl>
    <w:p w14:paraId="6B9E822D" w14:textId="04BAD29E" w:rsidR="0009007E" w:rsidRPr="0086525E" w:rsidRDefault="0009007E" w:rsidP="3D43DD34">
      <w:pPr>
        <w:spacing w:before="240" w:after="0" w:line="240" w:lineRule="auto"/>
        <w:rPr>
          <w:rFonts w:ascii="Lato" w:eastAsia="Lato" w:hAnsi="Lato" w:cs="Lato"/>
          <w:b/>
          <w:bCs/>
          <w:color w:val="008EAA"/>
          <w:sz w:val="18"/>
          <w:szCs w:val="18"/>
        </w:rPr>
      </w:pPr>
    </w:p>
    <w:tbl>
      <w:tblPr>
        <w:tblStyle w:val="TableGrid"/>
        <w:tblpPr w:leftFromText="180" w:rightFromText="180" w:vertAnchor="text" w:horzAnchor="margin" w:tblpY="136"/>
        <w:tblW w:w="10435" w:type="dxa"/>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ayout w:type="fixed"/>
        <w:tblLook w:val="04A0" w:firstRow="1" w:lastRow="0" w:firstColumn="1" w:lastColumn="0" w:noHBand="0" w:noVBand="1"/>
      </w:tblPr>
      <w:tblGrid>
        <w:gridCol w:w="3955"/>
        <w:gridCol w:w="4590"/>
        <w:gridCol w:w="1890"/>
      </w:tblGrid>
      <w:tr w:rsidR="00AA280E" w14:paraId="51E4BA0F" w14:textId="77777777" w:rsidTr="3D43DD34">
        <w:trPr>
          <w:trHeight w:val="303"/>
        </w:trPr>
        <w:tc>
          <w:tcPr>
            <w:tcW w:w="3955" w:type="dxa"/>
            <w:shd w:val="clear" w:color="auto" w:fill="3C539A"/>
            <w:vAlign w:val="center"/>
          </w:tcPr>
          <w:p w14:paraId="0CD23228" w14:textId="1E8ADC4C" w:rsidR="00AA280E" w:rsidRPr="0086525E" w:rsidRDefault="0089E345" w:rsidP="3D43DD34">
            <w:pPr>
              <w:jc w:val="center"/>
              <w:rPr>
                <w:rFonts w:ascii="Lato" w:eastAsia="Lato" w:hAnsi="Lato" w:cs="Lato"/>
                <w:b/>
                <w:bCs/>
                <w:color w:val="FFFFFF" w:themeColor="background1"/>
                <w:sz w:val="16"/>
                <w:szCs w:val="16"/>
              </w:rPr>
            </w:pPr>
            <w:r w:rsidRPr="3D43DD34">
              <w:rPr>
                <w:rFonts w:ascii="Lato" w:eastAsia="Lato" w:hAnsi="Lato" w:cs="Lato"/>
                <w:b/>
                <w:bCs/>
                <w:color w:val="FFFFFF" w:themeColor="background1"/>
                <w:sz w:val="16"/>
                <w:szCs w:val="16"/>
              </w:rPr>
              <w:t>Additional Item</w:t>
            </w:r>
          </w:p>
        </w:tc>
        <w:tc>
          <w:tcPr>
            <w:tcW w:w="4590" w:type="dxa"/>
            <w:shd w:val="clear" w:color="auto" w:fill="3C539A"/>
            <w:vAlign w:val="center"/>
          </w:tcPr>
          <w:p w14:paraId="76DACF31" w14:textId="3FE66A20" w:rsidR="00AA280E" w:rsidRPr="0086525E" w:rsidRDefault="0089E345" w:rsidP="3D43DD34">
            <w:pPr>
              <w:jc w:val="center"/>
              <w:rPr>
                <w:rFonts w:ascii="Lato" w:eastAsia="Lato" w:hAnsi="Lato" w:cs="Lato"/>
                <w:b/>
                <w:bCs/>
                <w:color w:val="FFFFFF" w:themeColor="background1"/>
                <w:sz w:val="16"/>
                <w:szCs w:val="16"/>
              </w:rPr>
            </w:pPr>
            <w:r w:rsidRPr="3D43DD34">
              <w:rPr>
                <w:rFonts w:ascii="Lato" w:eastAsia="Lato" w:hAnsi="Lato" w:cs="Lato"/>
                <w:b/>
                <w:bCs/>
                <w:color w:val="FFFFFF" w:themeColor="background1"/>
                <w:sz w:val="16"/>
                <w:szCs w:val="16"/>
              </w:rPr>
              <w:t>Terms</w:t>
            </w:r>
          </w:p>
        </w:tc>
        <w:tc>
          <w:tcPr>
            <w:tcW w:w="1890" w:type="dxa"/>
            <w:shd w:val="clear" w:color="auto" w:fill="3C539A"/>
            <w:vAlign w:val="center"/>
          </w:tcPr>
          <w:p w14:paraId="434B8083" w14:textId="1D52EF45" w:rsidR="00AA280E" w:rsidRPr="0086525E" w:rsidRDefault="0089E345" w:rsidP="3D43DD34">
            <w:pPr>
              <w:jc w:val="center"/>
              <w:rPr>
                <w:rFonts w:ascii="Lato" w:eastAsia="Lato" w:hAnsi="Lato" w:cs="Lato"/>
                <w:b/>
                <w:bCs/>
                <w:color w:val="FFFFFF" w:themeColor="background1"/>
                <w:sz w:val="16"/>
                <w:szCs w:val="16"/>
              </w:rPr>
            </w:pPr>
            <w:r w:rsidRPr="3D43DD34">
              <w:rPr>
                <w:rFonts w:ascii="Lato" w:eastAsia="Lato" w:hAnsi="Lato" w:cs="Lato"/>
                <w:b/>
                <w:bCs/>
                <w:color w:val="FFFFFF" w:themeColor="background1"/>
                <w:sz w:val="16"/>
                <w:szCs w:val="16"/>
              </w:rPr>
              <w:t>Fee</w:t>
            </w:r>
          </w:p>
        </w:tc>
      </w:tr>
      <w:tr w:rsidR="00AA280E" w14:paraId="06C0CE16" w14:textId="77777777" w:rsidTr="004E2CC6">
        <w:trPr>
          <w:trHeight w:val="390"/>
        </w:trPr>
        <w:tc>
          <w:tcPr>
            <w:tcW w:w="3955" w:type="dxa"/>
            <w:vAlign w:val="center"/>
          </w:tcPr>
          <w:p w14:paraId="4EC2A166" w14:textId="7B879036" w:rsidR="00AA280E" w:rsidRPr="0009007E" w:rsidRDefault="5EF3C7D5" w:rsidP="3D43DD34">
            <w:pPr>
              <w:rPr>
                <w:rFonts w:ascii="Lato" w:eastAsia="Lato" w:hAnsi="Lato" w:cs="Lato"/>
                <w:color w:val="636669"/>
                <w:sz w:val="16"/>
                <w:szCs w:val="16"/>
              </w:rPr>
            </w:pPr>
            <w:r w:rsidRPr="3D43DD34">
              <w:rPr>
                <w:rFonts w:ascii="Lato" w:eastAsia="Lato" w:hAnsi="Lato" w:cs="Lato"/>
                <w:color w:val="636669"/>
                <w:sz w:val="16"/>
                <w:szCs w:val="16"/>
              </w:rPr>
              <w:t>Refundable EOR Deposit + First Month Payment</w:t>
            </w:r>
          </w:p>
        </w:tc>
        <w:tc>
          <w:tcPr>
            <w:tcW w:w="4590" w:type="dxa"/>
            <w:vAlign w:val="center"/>
          </w:tcPr>
          <w:p w14:paraId="1BB698A1" w14:textId="0DA54E9E" w:rsidR="00AA280E" w:rsidRPr="0009007E" w:rsidRDefault="5EF3C7D5" w:rsidP="3D43DD34">
            <w:pPr>
              <w:rPr>
                <w:rFonts w:ascii="Lato" w:eastAsia="Lato" w:hAnsi="Lato" w:cs="Lato"/>
                <w:color w:val="636669"/>
                <w:sz w:val="16"/>
                <w:szCs w:val="16"/>
              </w:rPr>
            </w:pPr>
            <w:r w:rsidRPr="3D43DD34">
              <w:rPr>
                <w:rFonts w:ascii="Lato" w:eastAsia="Lato" w:hAnsi="Lato" w:cs="Lato"/>
                <w:color w:val="636669"/>
                <w:sz w:val="16"/>
                <w:szCs w:val="16"/>
              </w:rPr>
              <w:t>Deposit is one month of the Team Member’s Salary, Taxes, Social Contributions and Services Fees</w:t>
            </w:r>
          </w:p>
        </w:tc>
        <w:tc>
          <w:tcPr>
            <w:tcW w:w="1890" w:type="dxa"/>
            <w:vAlign w:val="center"/>
          </w:tcPr>
          <w:p w14:paraId="470A1268" w14:textId="7EA3DD5D" w:rsidR="00AA280E" w:rsidRPr="0009007E" w:rsidRDefault="5EF3C7D5" w:rsidP="3D43DD34">
            <w:pPr>
              <w:jc w:val="center"/>
              <w:rPr>
                <w:rFonts w:ascii="Lato" w:eastAsia="Lato" w:hAnsi="Lato" w:cs="Lato"/>
                <w:color w:val="636669"/>
                <w:sz w:val="16"/>
                <w:szCs w:val="16"/>
              </w:rPr>
            </w:pPr>
            <w:r w:rsidRPr="3D43DD34">
              <w:rPr>
                <w:rFonts w:ascii="Lato" w:eastAsia="Lato" w:hAnsi="Lato" w:cs="Lato"/>
                <w:color w:val="636669"/>
                <w:sz w:val="16"/>
                <w:szCs w:val="16"/>
                <w:highlight w:val="yellow"/>
              </w:rPr>
              <w:t>TBD</w:t>
            </w:r>
          </w:p>
        </w:tc>
      </w:tr>
      <w:tr w:rsidR="007E1C41" w14:paraId="6158B90F" w14:textId="77777777" w:rsidTr="3D43DD34">
        <w:trPr>
          <w:trHeight w:val="289"/>
        </w:trPr>
        <w:tc>
          <w:tcPr>
            <w:tcW w:w="3955" w:type="dxa"/>
            <w:vAlign w:val="center"/>
          </w:tcPr>
          <w:p w14:paraId="696B26E1" w14:textId="7A601CAA" w:rsidR="007E1C41" w:rsidRDefault="5EF3C7D5" w:rsidP="3D43DD34">
            <w:pPr>
              <w:rPr>
                <w:rFonts w:ascii="Lato" w:eastAsia="Lato" w:hAnsi="Lato" w:cs="Lato"/>
                <w:color w:val="636669"/>
                <w:sz w:val="16"/>
                <w:szCs w:val="16"/>
              </w:rPr>
            </w:pPr>
            <w:r w:rsidRPr="3D43DD34">
              <w:rPr>
                <w:rFonts w:ascii="Lato" w:eastAsia="Lato" w:hAnsi="Lato" w:cs="Lato"/>
                <w:color w:val="636669"/>
                <w:sz w:val="16"/>
                <w:szCs w:val="16"/>
              </w:rPr>
              <w:t>Severance Accrual Deposit</w:t>
            </w:r>
          </w:p>
        </w:tc>
        <w:tc>
          <w:tcPr>
            <w:tcW w:w="4590" w:type="dxa"/>
            <w:vAlign w:val="center"/>
          </w:tcPr>
          <w:p w14:paraId="4EBF7FCC" w14:textId="2A30E1A6" w:rsidR="007E1C41" w:rsidRDefault="5EF3C7D5" w:rsidP="3D43DD34">
            <w:pPr>
              <w:rPr>
                <w:rFonts w:ascii="Lato" w:eastAsia="Lato" w:hAnsi="Lato" w:cs="Lato"/>
                <w:color w:val="636669"/>
                <w:sz w:val="16"/>
                <w:szCs w:val="16"/>
              </w:rPr>
            </w:pPr>
            <w:r w:rsidRPr="3D43DD34">
              <w:rPr>
                <w:rFonts w:ascii="Lato" w:eastAsia="Lato" w:hAnsi="Lato" w:cs="Lato"/>
                <w:color w:val="636669"/>
                <w:sz w:val="16"/>
                <w:szCs w:val="16"/>
              </w:rPr>
              <w:t xml:space="preserve">A monthly Severance Accrual Deposit will be collected to fund potential termination costs – this rate will be </w:t>
            </w:r>
            <w:r w:rsidR="6EFC9378" w:rsidRPr="3D43DD34">
              <w:rPr>
                <w:rFonts w:ascii="Lato" w:eastAsia="Lato" w:hAnsi="Lato" w:cs="Lato"/>
                <w:color w:val="636669"/>
                <w:sz w:val="16"/>
                <w:szCs w:val="16"/>
              </w:rPr>
              <w:t>8.3</w:t>
            </w:r>
            <w:r w:rsidR="3CEC27A9" w:rsidRPr="3D43DD34">
              <w:rPr>
                <w:rFonts w:ascii="Lato" w:eastAsia="Lato" w:hAnsi="Lato" w:cs="Lato"/>
                <w:color w:val="636669"/>
                <w:sz w:val="16"/>
                <w:szCs w:val="16"/>
              </w:rPr>
              <w:t>3</w:t>
            </w:r>
            <w:r w:rsidR="6EFC9378" w:rsidRPr="3D43DD34">
              <w:rPr>
                <w:rFonts w:ascii="Lato" w:eastAsia="Lato" w:hAnsi="Lato" w:cs="Lato"/>
                <w:color w:val="636669"/>
                <w:sz w:val="16"/>
                <w:szCs w:val="16"/>
              </w:rPr>
              <w:t xml:space="preserve">% </w:t>
            </w:r>
            <w:r w:rsidR="4381DD13" w:rsidRPr="3D43DD34">
              <w:rPr>
                <w:rFonts w:ascii="Lato" w:eastAsia="Lato" w:hAnsi="Lato" w:cs="Lato"/>
                <w:color w:val="636669"/>
                <w:sz w:val="16"/>
                <w:szCs w:val="16"/>
              </w:rPr>
              <w:t>of the employee’s TEC (Total Employment Cost)</w:t>
            </w:r>
          </w:p>
        </w:tc>
        <w:tc>
          <w:tcPr>
            <w:tcW w:w="1890" w:type="dxa"/>
            <w:vAlign w:val="center"/>
          </w:tcPr>
          <w:p w14:paraId="23968AD4" w14:textId="47233FEB" w:rsidR="007E1C41" w:rsidRDefault="6DA02D9C" w:rsidP="3D43DD34">
            <w:pPr>
              <w:jc w:val="center"/>
              <w:rPr>
                <w:rFonts w:ascii="Lato" w:eastAsia="Lato" w:hAnsi="Lato" w:cs="Lato"/>
                <w:color w:val="636669"/>
                <w:sz w:val="16"/>
                <w:szCs w:val="16"/>
              </w:rPr>
            </w:pPr>
            <w:commentRangeStart w:id="0"/>
            <w:commentRangeStart w:id="1"/>
            <w:r w:rsidRPr="3D43DD34">
              <w:rPr>
                <w:rFonts w:ascii="Lato" w:eastAsia="Lato" w:hAnsi="Lato" w:cs="Lato"/>
                <w:color w:val="636669"/>
                <w:sz w:val="16"/>
                <w:szCs w:val="16"/>
              </w:rPr>
              <w:t>8.33</w:t>
            </w:r>
            <w:r w:rsidR="4381DD13" w:rsidRPr="3D43DD34">
              <w:rPr>
                <w:rFonts w:ascii="Lato" w:eastAsia="Lato" w:hAnsi="Lato" w:cs="Lato"/>
                <w:color w:val="636669"/>
                <w:sz w:val="16"/>
                <w:szCs w:val="16"/>
              </w:rPr>
              <w:t>%</w:t>
            </w:r>
            <w:commentRangeEnd w:id="0"/>
            <w:r w:rsidR="008522FB" w:rsidRPr="3D43DD34">
              <w:rPr>
                <w:rStyle w:val="CommentReference"/>
                <w:rFonts w:ascii="Lato" w:eastAsia="Lato" w:hAnsi="Lato" w:cs="Lato"/>
                <w:color w:val="636669"/>
                <w:position w:val="0"/>
              </w:rPr>
              <w:commentReference w:id="0"/>
            </w:r>
            <w:commentRangeEnd w:id="1"/>
            <w:r w:rsidR="008522FB" w:rsidRPr="3D43DD34">
              <w:rPr>
                <w:rStyle w:val="CommentReference"/>
                <w:rFonts w:ascii="Lato" w:eastAsia="Lato" w:hAnsi="Lato" w:cs="Lato"/>
                <w:color w:val="636669"/>
                <w:position w:val="0"/>
              </w:rPr>
              <w:commentReference w:id="1"/>
            </w:r>
            <w:r w:rsidR="4381DD13" w:rsidRPr="3D43DD34">
              <w:rPr>
                <w:rFonts w:ascii="Lato" w:eastAsia="Lato" w:hAnsi="Lato" w:cs="Lato"/>
                <w:color w:val="636669"/>
                <w:sz w:val="16"/>
                <w:szCs w:val="16"/>
              </w:rPr>
              <w:t xml:space="preserve"> of employee’s TEC</w:t>
            </w:r>
          </w:p>
        </w:tc>
      </w:tr>
      <w:tr w:rsidR="008522FB" w14:paraId="32017657" w14:textId="77777777" w:rsidTr="3D43DD34">
        <w:trPr>
          <w:trHeight w:val="289"/>
        </w:trPr>
        <w:tc>
          <w:tcPr>
            <w:tcW w:w="3955" w:type="dxa"/>
            <w:vAlign w:val="center"/>
          </w:tcPr>
          <w:p w14:paraId="0EAB6BBC" w14:textId="76B08B56" w:rsidR="008522FB" w:rsidRDefault="4381DD13" w:rsidP="3D43DD34">
            <w:pPr>
              <w:rPr>
                <w:rFonts w:ascii="Lato" w:eastAsia="Lato" w:hAnsi="Lato" w:cs="Lato"/>
                <w:color w:val="636669"/>
                <w:sz w:val="16"/>
                <w:szCs w:val="16"/>
              </w:rPr>
            </w:pPr>
            <w:r w:rsidRPr="3D43DD34">
              <w:rPr>
                <w:rFonts w:ascii="Lato" w:eastAsia="Lato" w:hAnsi="Lato" w:cs="Lato"/>
                <w:color w:val="636669"/>
                <w:sz w:val="16"/>
                <w:szCs w:val="16"/>
              </w:rPr>
              <w:t>Salary, Taxes, and Social Contributions</w:t>
            </w:r>
          </w:p>
        </w:tc>
        <w:tc>
          <w:tcPr>
            <w:tcW w:w="4590" w:type="dxa"/>
            <w:vAlign w:val="center"/>
          </w:tcPr>
          <w:p w14:paraId="6150C85D" w14:textId="2A3705D5" w:rsidR="008522FB" w:rsidRDefault="4381DD13" w:rsidP="3D43DD34">
            <w:pPr>
              <w:rPr>
                <w:rFonts w:ascii="Lato" w:eastAsia="Lato" w:hAnsi="Lato" w:cs="Lato"/>
                <w:color w:val="636669"/>
                <w:sz w:val="16"/>
                <w:szCs w:val="16"/>
              </w:rPr>
            </w:pPr>
            <w:r w:rsidRPr="3D43DD34">
              <w:rPr>
                <w:rFonts w:ascii="Lato" w:eastAsia="Lato" w:hAnsi="Lato" w:cs="Lato"/>
                <w:color w:val="636669"/>
                <w:sz w:val="16"/>
                <w:szCs w:val="16"/>
              </w:rPr>
              <w:t xml:space="preserve">As agreed between the Parties, stated </w:t>
            </w:r>
            <w:r w:rsidR="2CCD500C" w:rsidRPr="3D43DD34">
              <w:rPr>
                <w:rFonts w:ascii="Lato" w:eastAsia="Lato" w:hAnsi="Lato" w:cs="Lato"/>
                <w:color w:val="636669"/>
                <w:sz w:val="16"/>
                <w:szCs w:val="16"/>
              </w:rPr>
              <w:t>in the Team Member’s Employment Agreement, and required by local law or regulation</w:t>
            </w:r>
          </w:p>
        </w:tc>
        <w:tc>
          <w:tcPr>
            <w:tcW w:w="1890" w:type="dxa"/>
            <w:vAlign w:val="center"/>
          </w:tcPr>
          <w:p w14:paraId="7323730C" w14:textId="43228337" w:rsidR="008522FB" w:rsidRDefault="2CCD500C" w:rsidP="3D43DD34">
            <w:pPr>
              <w:jc w:val="center"/>
              <w:rPr>
                <w:rFonts w:ascii="Lato" w:eastAsia="Lato" w:hAnsi="Lato" w:cs="Lato"/>
                <w:color w:val="636669"/>
                <w:sz w:val="16"/>
                <w:szCs w:val="16"/>
              </w:rPr>
            </w:pPr>
            <w:r w:rsidRPr="3D43DD34">
              <w:rPr>
                <w:rFonts w:ascii="Lato" w:eastAsia="Lato" w:hAnsi="Lato" w:cs="Lato"/>
                <w:color w:val="636669"/>
                <w:sz w:val="16"/>
                <w:szCs w:val="16"/>
                <w:highlight w:val="yellow"/>
              </w:rPr>
              <w:t>TBD</w:t>
            </w:r>
          </w:p>
        </w:tc>
      </w:tr>
    </w:tbl>
    <w:tbl>
      <w:tblPr>
        <w:tblStyle w:val="TableGrid"/>
        <w:tblW w:w="10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5"/>
        <w:gridCol w:w="1263"/>
      </w:tblGrid>
      <w:tr w:rsidR="0009007E" w14:paraId="560D0C2F" w14:textId="77777777" w:rsidTr="3D43DD34">
        <w:trPr>
          <w:trHeight w:val="54"/>
        </w:trPr>
        <w:tc>
          <w:tcPr>
            <w:tcW w:w="9175" w:type="dxa"/>
            <w:vAlign w:val="center"/>
          </w:tcPr>
          <w:p w14:paraId="7815C58C" w14:textId="77777777" w:rsidR="0009007E" w:rsidRPr="0009007E" w:rsidRDefault="0009007E" w:rsidP="3D43DD34">
            <w:pPr>
              <w:jc w:val="right"/>
              <w:rPr>
                <w:rFonts w:ascii="Lato" w:eastAsia="Lato" w:hAnsi="Lato" w:cs="Lato"/>
                <w:b/>
                <w:bCs/>
                <w:color w:val="636669"/>
                <w:sz w:val="16"/>
                <w:szCs w:val="16"/>
              </w:rPr>
            </w:pPr>
          </w:p>
        </w:tc>
        <w:tc>
          <w:tcPr>
            <w:tcW w:w="1263" w:type="dxa"/>
            <w:vAlign w:val="center"/>
          </w:tcPr>
          <w:p w14:paraId="76487DBF" w14:textId="77777777" w:rsidR="0009007E" w:rsidRPr="0009007E" w:rsidRDefault="0009007E" w:rsidP="3D43DD34">
            <w:pPr>
              <w:jc w:val="center"/>
              <w:rPr>
                <w:rFonts w:ascii="Lato" w:eastAsia="Lato" w:hAnsi="Lato" w:cs="Lato"/>
                <w:b/>
                <w:bCs/>
                <w:color w:val="636669"/>
                <w:sz w:val="16"/>
                <w:szCs w:val="16"/>
              </w:rPr>
            </w:pPr>
          </w:p>
        </w:tc>
      </w:tr>
    </w:tbl>
    <w:p w14:paraId="004C776E" w14:textId="2CED0F95" w:rsidR="0009007E" w:rsidRPr="0086525E" w:rsidRDefault="2CCD500C" w:rsidP="3D43DD34">
      <w:pPr>
        <w:spacing w:before="240" w:after="0" w:line="240" w:lineRule="auto"/>
        <w:rPr>
          <w:rFonts w:ascii="Lato" w:eastAsia="Lato" w:hAnsi="Lato" w:cs="Lato"/>
          <w:b/>
          <w:bCs/>
          <w:color w:val="008EAA"/>
          <w:sz w:val="18"/>
          <w:szCs w:val="18"/>
        </w:rPr>
      </w:pPr>
      <w:r w:rsidRPr="3D43DD34">
        <w:rPr>
          <w:rFonts w:ascii="Lato" w:eastAsia="Lato" w:hAnsi="Lato" w:cs="Lato"/>
          <w:b/>
          <w:bCs/>
          <w:color w:val="008EAA"/>
          <w:sz w:val="18"/>
          <w:szCs w:val="18"/>
        </w:rPr>
        <w:t>PRISMHR GLOBAL WORKFORCE SOLUTIONS ORDER TERMS</w:t>
      </w:r>
    </w:p>
    <w:tbl>
      <w:tblPr>
        <w:tblStyle w:val="TableGrid"/>
        <w:tblpPr w:leftFromText="180" w:rightFromText="180" w:vertAnchor="text" w:horzAnchor="margin" w:tblpY="136"/>
        <w:tblW w:w="10435" w:type="dxa"/>
        <w:tblBorders>
          <w:top w:val="single" w:sz="4" w:space="0" w:color="ADADAD"/>
          <w:left w:val="single" w:sz="4" w:space="0" w:color="ADADAD"/>
          <w:bottom w:val="single" w:sz="4" w:space="0" w:color="ADADAD"/>
          <w:right w:val="single" w:sz="4" w:space="0" w:color="ADADAD"/>
          <w:insideH w:val="single" w:sz="4" w:space="0" w:color="ADADAD"/>
          <w:insideV w:val="single" w:sz="4" w:space="0" w:color="ADADAD"/>
        </w:tblBorders>
        <w:tblLayout w:type="fixed"/>
        <w:tblLook w:val="04A0" w:firstRow="1" w:lastRow="0" w:firstColumn="1" w:lastColumn="0" w:noHBand="0" w:noVBand="1"/>
      </w:tblPr>
      <w:tblGrid>
        <w:gridCol w:w="2155"/>
        <w:gridCol w:w="2250"/>
        <w:gridCol w:w="2340"/>
        <w:gridCol w:w="1980"/>
        <w:gridCol w:w="1710"/>
      </w:tblGrid>
      <w:tr w:rsidR="0009007E" w14:paraId="0C4D6D1E" w14:textId="77777777" w:rsidTr="3D43DD34">
        <w:trPr>
          <w:trHeight w:val="315"/>
        </w:trPr>
        <w:tc>
          <w:tcPr>
            <w:tcW w:w="2155" w:type="dxa"/>
            <w:shd w:val="clear" w:color="auto" w:fill="3C539A"/>
            <w:vAlign w:val="center"/>
          </w:tcPr>
          <w:p w14:paraId="108E777A" w14:textId="348B5FA7" w:rsidR="0009007E" w:rsidRPr="0086525E" w:rsidRDefault="32AF50EE" w:rsidP="3D43DD34">
            <w:pPr>
              <w:jc w:val="center"/>
              <w:rPr>
                <w:rFonts w:ascii="Lato" w:eastAsia="Lato" w:hAnsi="Lato" w:cs="Lato"/>
                <w:b/>
                <w:bCs/>
                <w:color w:val="FFFFFF" w:themeColor="background1"/>
                <w:sz w:val="16"/>
                <w:szCs w:val="16"/>
              </w:rPr>
            </w:pPr>
            <w:r w:rsidRPr="3D43DD34">
              <w:rPr>
                <w:rFonts w:ascii="Lato" w:eastAsia="Lato" w:hAnsi="Lato" w:cs="Lato"/>
                <w:b/>
                <w:bCs/>
                <w:color w:val="FFFFFF" w:themeColor="background1"/>
                <w:sz w:val="16"/>
                <w:szCs w:val="16"/>
              </w:rPr>
              <w:t>Start Date</w:t>
            </w:r>
          </w:p>
        </w:tc>
        <w:tc>
          <w:tcPr>
            <w:tcW w:w="2250" w:type="dxa"/>
            <w:shd w:val="clear" w:color="auto" w:fill="3C539A"/>
            <w:vAlign w:val="center"/>
          </w:tcPr>
          <w:p w14:paraId="448A45DC" w14:textId="5E66D83B" w:rsidR="0009007E" w:rsidRPr="0086525E" w:rsidRDefault="32AF50EE" w:rsidP="3D43DD34">
            <w:pPr>
              <w:jc w:val="center"/>
              <w:rPr>
                <w:rFonts w:ascii="Lato" w:eastAsia="Lato" w:hAnsi="Lato" w:cs="Lato"/>
                <w:b/>
                <w:bCs/>
                <w:color w:val="FFFFFF" w:themeColor="background1"/>
                <w:sz w:val="16"/>
                <w:szCs w:val="16"/>
              </w:rPr>
            </w:pPr>
            <w:r w:rsidRPr="3D43DD34">
              <w:rPr>
                <w:rFonts w:ascii="Lato" w:eastAsia="Lato" w:hAnsi="Lato" w:cs="Lato"/>
                <w:b/>
                <w:bCs/>
                <w:color w:val="FFFFFF" w:themeColor="background1"/>
                <w:sz w:val="16"/>
                <w:szCs w:val="16"/>
              </w:rPr>
              <w:t>Quote Expiration</w:t>
            </w:r>
          </w:p>
        </w:tc>
        <w:tc>
          <w:tcPr>
            <w:tcW w:w="2340" w:type="dxa"/>
            <w:shd w:val="clear" w:color="auto" w:fill="3C539A"/>
            <w:vAlign w:val="center"/>
          </w:tcPr>
          <w:p w14:paraId="2672824B" w14:textId="48ABEED0" w:rsidR="0009007E" w:rsidRPr="0086525E" w:rsidRDefault="32AF50EE" w:rsidP="3D43DD34">
            <w:pPr>
              <w:jc w:val="center"/>
              <w:rPr>
                <w:rFonts w:ascii="Lato" w:eastAsia="Lato" w:hAnsi="Lato" w:cs="Lato"/>
                <w:b/>
                <w:bCs/>
                <w:color w:val="FFFFFF" w:themeColor="background1"/>
                <w:sz w:val="16"/>
                <w:szCs w:val="16"/>
              </w:rPr>
            </w:pPr>
            <w:r w:rsidRPr="3D43DD34">
              <w:rPr>
                <w:rFonts w:ascii="Lato" w:eastAsia="Lato" w:hAnsi="Lato" w:cs="Lato"/>
                <w:b/>
                <w:bCs/>
                <w:color w:val="FFFFFF" w:themeColor="background1"/>
                <w:sz w:val="16"/>
                <w:szCs w:val="16"/>
              </w:rPr>
              <w:t>Monthly Fees Total</w:t>
            </w:r>
          </w:p>
        </w:tc>
        <w:tc>
          <w:tcPr>
            <w:tcW w:w="1980" w:type="dxa"/>
            <w:shd w:val="clear" w:color="auto" w:fill="3C539A"/>
            <w:vAlign w:val="center"/>
          </w:tcPr>
          <w:p w14:paraId="11FD2ED9" w14:textId="73D09E06" w:rsidR="0009007E" w:rsidRDefault="32AF50EE" w:rsidP="3D43DD34">
            <w:pPr>
              <w:jc w:val="center"/>
              <w:rPr>
                <w:rFonts w:ascii="Lato" w:eastAsia="Lato" w:hAnsi="Lato" w:cs="Lato"/>
                <w:b/>
                <w:bCs/>
                <w:color w:val="FFFFFF" w:themeColor="background1"/>
                <w:sz w:val="16"/>
                <w:szCs w:val="16"/>
              </w:rPr>
            </w:pPr>
            <w:r w:rsidRPr="3D43DD34">
              <w:rPr>
                <w:rFonts w:ascii="Lato" w:eastAsia="Lato" w:hAnsi="Lato" w:cs="Lato"/>
                <w:b/>
                <w:bCs/>
                <w:color w:val="FFFFFF" w:themeColor="background1"/>
                <w:sz w:val="16"/>
                <w:szCs w:val="16"/>
              </w:rPr>
              <w:t>One-Time Fees Total</w:t>
            </w:r>
          </w:p>
        </w:tc>
        <w:tc>
          <w:tcPr>
            <w:tcW w:w="1710" w:type="dxa"/>
            <w:shd w:val="clear" w:color="auto" w:fill="3C539A"/>
            <w:vAlign w:val="center"/>
          </w:tcPr>
          <w:p w14:paraId="38FAE5C4" w14:textId="6014156D" w:rsidR="0009007E" w:rsidRDefault="32AF50EE" w:rsidP="3D43DD34">
            <w:pPr>
              <w:jc w:val="center"/>
              <w:rPr>
                <w:rFonts w:ascii="Lato" w:eastAsia="Lato" w:hAnsi="Lato" w:cs="Lato"/>
                <w:b/>
                <w:bCs/>
                <w:color w:val="FFFFFF" w:themeColor="background1"/>
                <w:sz w:val="16"/>
                <w:szCs w:val="16"/>
              </w:rPr>
            </w:pPr>
            <w:r w:rsidRPr="3D43DD34">
              <w:rPr>
                <w:rFonts w:ascii="Lato" w:eastAsia="Lato" w:hAnsi="Lato" w:cs="Lato"/>
                <w:b/>
                <w:bCs/>
                <w:color w:val="FFFFFF" w:themeColor="background1"/>
                <w:sz w:val="16"/>
                <w:szCs w:val="16"/>
              </w:rPr>
              <w:t>Payment Terms</w:t>
            </w:r>
          </w:p>
        </w:tc>
      </w:tr>
      <w:tr w:rsidR="0009007E" w14:paraId="0FBF334F" w14:textId="77777777" w:rsidTr="3D43DD34">
        <w:trPr>
          <w:trHeight w:val="300"/>
        </w:trPr>
        <w:tc>
          <w:tcPr>
            <w:tcW w:w="2155" w:type="dxa"/>
            <w:vAlign w:val="center"/>
          </w:tcPr>
          <w:p w14:paraId="115FD45E" w14:textId="3631F4A9" w:rsidR="0009007E" w:rsidRPr="0009007E" w:rsidRDefault="2880E754" w:rsidP="3D43DD34">
            <w:pPr>
              <w:jc w:val="center"/>
              <w:rPr>
                <w:rFonts w:ascii="Lato" w:eastAsia="Lato" w:hAnsi="Lato" w:cs="Lato"/>
                <w:color w:val="636669"/>
                <w:sz w:val="16"/>
                <w:szCs w:val="16"/>
              </w:rPr>
            </w:pPr>
            <w:r w:rsidRPr="3D43DD34">
              <w:rPr>
                <w:rFonts w:ascii="Lato" w:eastAsia="Lato" w:hAnsi="Lato" w:cs="Lato"/>
                <w:color w:val="636669"/>
                <w:sz w:val="16"/>
                <w:szCs w:val="16"/>
              </w:rPr>
              <w:t>Signature Date</w:t>
            </w:r>
          </w:p>
        </w:tc>
        <w:tc>
          <w:tcPr>
            <w:tcW w:w="2250" w:type="dxa"/>
            <w:vAlign w:val="center"/>
          </w:tcPr>
          <w:p w14:paraId="2462E408" w14:textId="090D611F" w:rsidR="0009007E" w:rsidRPr="0009007E" w:rsidRDefault="5BBE258B" w:rsidP="3D43DD34">
            <w:pPr>
              <w:jc w:val="center"/>
              <w:rPr>
                <w:rFonts w:ascii="Lato" w:eastAsia="Lato" w:hAnsi="Lato" w:cs="Lato"/>
                <w:color w:val="636669"/>
                <w:sz w:val="16"/>
                <w:szCs w:val="16"/>
              </w:rPr>
            </w:pPr>
            <w:r w:rsidRPr="3D43DD34">
              <w:rPr>
                <w:rFonts w:ascii="Lato" w:eastAsia="Lato" w:hAnsi="Lato" w:cs="Lato"/>
                <w:color w:val="636669"/>
                <w:sz w:val="16"/>
                <w:szCs w:val="16"/>
              </w:rPr>
              <w:t>XX/XX/XXXX</w:t>
            </w:r>
          </w:p>
        </w:tc>
        <w:tc>
          <w:tcPr>
            <w:tcW w:w="2340" w:type="dxa"/>
            <w:vAlign w:val="center"/>
          </w:tcPr>
          <w:p w14:paraId="2FD4CCCF" w14:textId="63C25F2E" w:rsidR="0009007E" w:rsidRPr="0009007E" w:rsidRDefault="5464B8B6" w:rsidP="3D43DD34">
            <w:pPr>
              <w:jc w:val="center"/>
              <w:rPr>
                <w:rFonts w:ascii="Lato" w:eastAsia="Lato" w:hAnsi="Lato" w:cs="Lato"/>
                <w:color w:val="636669"/>
                <w:sz w:val="16"/>
                <w:szCs w:val="16"/>
              </w:rPr>
            </w:pPr>
            <w:r w:rsidRPr="3D43DD34">
              <w:rPr>
                <w:rFonts w:ascii="Lato" w:eastAsia="Lato" w:hAnsi="Lato" w:cs="Lato"/>
                <w:color w:val="636669"/>
                <w:sz w:val="16"/>
                <w:szCs w:val="16"/>
              </w:rPr>
              <w:t xml:space="preserve">$ </w:t>
            </w:r>
            <w:r w:rsidR="5BBE258B" w:rsidRPr="3D43DD34">
              <w:rPr>
                <w:rFonts w:ascii="Lato" w:eastAsia="Lato" w:hAnsi="Lato" w:cs="Lato"/>
                <w:color w:val="636669"/>
                <w:sz w:val="16"/>
                <w:szCs w:val="16"/>
              </w:rPr>
              <w:t>XXX.XX</w:t>
            </w:r>
          </w:p>
        </w:tc>
        <w:tc>
          <w:tcPr>
            <w:tcW w:w="1980" w:type="dxa"/>
            <w:vAlign w:val="center"/>
          </w:tcPr>
          <w:p w14:paraId="11C1EC5B" w14:textId="3B2D9C14" w:rsidR="0009007E" w:rsidRPr="0009007E" w:rsidRDefault="5BBE258B" w:rsidP="3D43DD34">
            <w:pPr>
              <w:jc w:val="center"/>
              <w:rPr>
                <w:rFonts w:ascii="Lato" w:eastAsia="Lato" w:hAnsi="Lato" w:cs="Lato"/>
                <w:color w:val="636669"/>
                <w:sz w:val="16"/>
                <w:szCs w:val="16"/>
              </w:rPr>
            </w:pPr>
            <w:r w:rsidRPr="3D43DD34">
              <w:rPr>
                <w:rFonts w:ascii="Lato" w:eastAsia="Lato" w:hAnsi="Lato" w:cs="Lato"/>
                <w:color w:val="636669"/>
                <w:sz w:val="16"/>
                <w:szCs w:val="16"/>
              </w:rPr>
              <w:t>$ XXX.XX</w:t>
            </w:r>
          </w:p>
        </w:tc>
        <w:tc>
          <w:tcPr>
            <w:tcW w:w="1710" w:type="dxa"/>
            <w:vAlign w:val="center"/>
          </w:tcPr>
          <w:p w14:paraId="57952527" w14:textId="3370BDFC" w:rsidR="0009007E" w:rsidRPr="0009007E" w:rsidRDefault="5BBE258B" w:rsidP="3D43DD34">
            <w:pPr>
              <w:jc w:val="center"/>
              <w:rPr>
                <w:rFonts w:ascii="Lato" w:eastAsia="Lato" w:hAnsi="Lato" w:cs="Lato"/>
                <w:color w:val="636669"/>
                <w:sz w:val="16"/>
                <w:szCs w:val="16"/>
              </w:rPr>
            </w:pPr>
            <w:r w:rsidRPr="3D43DD34">
              <w:rPr>
                <w:rFonts w:ascii="Lato" w:eastAsia="Lato" w:hAnsi="Lato" w:cs="Lato"/>
                <w:color w:val="636669"/>
                <w:sz w:val="16"/>
                <w:szCs w:val="16"/>
              </w:rPr>
              <w:t xml:space="preserve">Due Upon </w:t>
            </w:r>
            <w:r w:rsidR="38C97663" w:rsidRPr="3D43DD34">
              <w:rPr>
                <w:rFonts w:ascii="Lato" w:eastAsia="Lato" w:hAnsi="Lato" w:cs="Lato"/>
                <w:color w:val="636669"/>
                <w:sz w:val="16"/>
                <w:szCs w:val="16"/>
              </w:rPr>
              <w:t>Receipt</w:t>
            </w:r>
          </w:p>
        </w:tc>
      </w:tr>
    </w:tbl>
    <w:tbl>
      <w:tblPr>
        <w:tblStyle w:val="TableGrid"/>
        <w:tblW w:w="10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5"/>
        <w:gridCol w:w="1263"/>
      </w:tblGrid>
      <w:tr w:rsidR="00DB7868" w14:paraId="51A7A75D" w14:textId="77777777" w:rsidTr="3D43DD34">
        <w:trPr>
          <w:trHeight w:val="54"/>
        </w:trPr>
        <w:tc>
          <w:tcPr>
            <w:tcW w:w="9175" w:type="dxa"/>
            <w:vAlign w:val="center"/>
          </w:tcPr>
          <w:p w14:paraId="7BAACA45" w14:textId="77777777" w:rsidR="00DB7868" w:rsidRPr="0009007E" w:rsidRDefault="00DB7868" w:rsidP="3D43DD34">
            <w:pPr>
              <w:jc w:val="right"/>
              <w:rPr>
                <w:rFonts w:ascii="Lato" w:eastAsia="Lato" w:hAnsi="Lato" w:cs="Lato"/>
                <w:b/>
                <w:bCs/>
                <w:color w:val="636669"/>
                <w:sz w:val="16"/>
                <w:szCs w:val="16"/>
              </w:rPr>
            </w:pPr>
          </w:p>
        </w:tc>
        <w:tc>
          <w:tcPr>
            <w:tcW w:w="1263" w:type="dxa"/>
            <w:vAlign w:val="center"/>
          </w:tcPr>
          <w:p w14:paraId="621EC63B" w14:textId="77777777" w:rsidR="00DB7868" w:rsidRPr="0009007E" w:rsidRDefault="00DB7868" w:rsidP="3D43DD34">
            <w:pPr>
              <w:jc w:val="center"/>
              <w:rPr>
                <w:rFonts w:ascii="Lato" w:eastAsia="Lato" w:hAnsi="Lato" w:cs="Lato"/>
                <w:b/>
                <w:bCs/>
                <w:color w:val="636669"/>
                <w:sz w:val="16"/>
                <w:szCs w:val="16"/>
              </w:rPr>
            </w:pPr>
          </w:p>
        </w:tc>
      </w:tr>
    </w:tbl>
    <w:p w14:paraId="3BF0C5A8" w14:textId="77777777" w:rsidR="00871FC5" w:rsidRDefault="45694BA8" w:rsidP="3D43DD34">
      <w:pPr>
        <w:rPr>
          <w:rFonts w:ascii="Lato" w:eastAsia="Lato" w:hAnsi="Lato" w:cs="Lato"/>
          <w:color w:val="636669"/>
          <w:sz w:val="16"/>
          <w:szCs w:val="16"/>
        </w:rPr>
      </w:pPr>
      <w:r w:rsidRPr="3D43DD34">
        <w:rPr>
          <w:rFonts w:ascii="Lato" w:eastAsia="Lato" w:hAnsi="Lato" w:cs="Lato"/>
          <w:color w:val="636669"/>
          <w:sz w:val="16"/>
          <w:szCs w:val="16"/>
        </w:rPr>
        <w:t>All fees are exclusive of any local taxes, e.g., business tax, value added tax, sales tax, and any out-of-pocket expenses associated with providing the Services. Out of pocket expenses include government filing fees, shipping charges, etc., which Customer agrees to pay in addition to the fees.</w:t>
      </w:r>
    </w:p>
    <w:p w14:paraId="0B7EB49B" w14:textId="5FBF63C3" w:rsidR="00DB7868" w:rsidRDefault="70652320" w:rsidP="3D43DD34">
      <w:pPr>
        <w:rPr>
          <w:rFonts w:ascii="Lato" w:eastAsia="Lato" w:hAnsi="Lato" w:cs="Lato"/>
          <w:color w:val="636669"/>
          <w:sz w:val="16"/>
          <w:szCs w:val="16"/>
        </w:rPr>
      </w:pPr>
      <w:r w:rsidRPr="3D43DD34">
        <w:rPr>
          <w:rFonts w:ascii="Lato" w:eastAsia="Lato" w:hAnsi="Lato" w:cs="Lato"/>
          <w:color w:val="636669"/>
          <w:sz w:val="16"/>
          <w:szCs w:val="16"/>
        </w:rPr>
        <w:t xml:space="preserve">This Order Form is governed by and incorporated into the Master Services and Subscription Agreement (“MSSA”) previously executed by the Parties effective </w:t>
      </w:r>
      <w:r w:rsidR="379373DF" w:rsidRPr="3D43DD34">
        <w:rPr>
          <w:rFonts w:ascii="Lato" w:eastAsia="Lato" w:hAnsi="Lato" w:cs="Lato"/>
          <w:color w:val="636669"/>
          <w:sz w:val="16"/>
          <w:szCs w:val="16"/>
          <w:highlight w:val="yellow"/>
        </w:rPr>
        <w:t>[MSSA Effective Date]</w:t>
      </w:r>
      <w:r w:rsidRPr="3D43DD34">
        <w:rPr>
          <w:rFonts w:ascii="Lato" w:eastAsia="Lato" w:hAnsi="Lato" w:cs="Lato"/>
          <w:color w:val="636669"/>
          <w:sz w:val="16"/>
          <w:szCs w:val="16"/>
        </w:rPr>
        <w:t>, the Global Workforce Solutions Terms and Conditions, and the Pricing Schedule, each of which is incorporated herein by reference. By executing this Order Form, Customer acknowledges that it has reviewed and agrees to be bound by the terms and conditions of the MSSA, the G</w:t>
      </w:r>
      <w:commentRangeStart w:id="2"/>
      <w:r w:rsidRPr="3D43DD34">
        <w:rPr>
          <w:rFonts w:ascii="Lato" w:eastAsia="Lato" w:hAnsi="Lato" w:cs="Lato"/>
          <w:color w:val="636669"/>
          <w:sz w:val="16"/>
          <w:szCs w:val="16"/>
        </w:rPr>
        <w:t>lobal Workforce Solutions Terms and Conditions</w:t>
      </w:r>
      <w:commentRangeEnd w:id="2"/>
      <w:r w:rsidR="00871FC5" w:rsidRPr="3D43DD34">
        <w:rPr>
          <w:rStyle w:val="CommentReference"/>
          <w:rFonts w:ascii="Lato" w:eastAsia="Lato" w:hAnsi="Lato" w:cs="Lato"/>
          <w:color w:val="636669"/>
          <w:position w:val="0"/>
        </w:rPr>
        <w:commentReference w:id="2"/>
      </w:r>
      <w:r w:rsidRPr="3D43DD34">
        <w:rPr>
          <w:rFonts w:ascii="Lato" w:eastAsia="Lato" w:hAnsi="Lato" w:cs="Lato"/>
          <w:color w:val="636669"/>
          <w:sz w:val="16"/>
          <w:szCs w:val="16"/>
        </w:rPr>
        <w:t>, the Pricing Schedule, and this Order Form.</w:t>
      </w: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0"/>
        <w:gridCol w:w="3240"/>
        <w:gridCol w:w="450"/>
        <w:gridCol w:w="360"/>
        <w:gridCol w:w="1260"/>
        <w:gridCol w:w="3420"/>
      </w:tblGrid>
      <w:tr w:rsidR="00B5190E" w:rsidRPr="004E1EF2" w14:paraId="03FDCE08" w14:textId="77777777" w:rsidTr="3D43DD34">
        <w:trPr>
          <w:cantSplit/>
          <w:trHeight w:val="432"/>
          <w:jc w:val="center"/>
        </w:trPr>
        <w:tc>
          <w:tcPr>
            <w:tcW w:w="4500" w:type="dxa"/>
            <w:gridSpan w:val="2"/>
            <w:vAlign w:val="center"/>
          </w:tcPr>
          <w:p w14:paraId="7E94E96F" w14:textId="14CFFF2D" w:rsidR="00B5190E" w:rsidRPr="006E5653" w:rsidRDefault="517644FF" w:rsidP="3D43DD34">
            <w:pPr>
              <w:keepNext/>
              <w:keepLines/>
              <w:pBdr>
                <w:top w:val="nil"/>
                <w:left w:val="nil"/>
                <w:bottom w:val="nil"/>
                <w:right w:val="nil"/>
                <w:between w:val="nil"/>
              </w:pBdr>
              <w:shd w:val="clear" w:color="auto" w:fill="FFFFFF" w:themeFill="background1"/>
              <w:rPr>
                <w:rFonts w:ascii="Lato" w:eastAsia="Lato" w:hAnsi="Lato" w:cs="Lato"/>
                <w:caps/>
                <w:color w:val="636669"/>
                <w:sz w:val="16"/>
                <w:szCs w:val="16"/>
              </w:rPr>
            </w:pPr>
            <w:r w:rsidRPr="3D43DD34">
              <w:rPr>
                <w:rFonts w:ascii="Lato" w:eastAsia="Lato" w:hAnsi="Lato" w:cs="Lato"/>
                <w:b/>
                <w:bCs/>
                <w:caps/>
                <w:color w:val="008EAA"/>
                <w:sz w:val="18"/>
                <w:szCs w:val="18"/>
              </w:rPr>
              <w:t>CUSTOMER NAME</w:t>
            </w:r>
          </w:p>
        </w:tc>
        <w:tc>
          <w:tcPr>
            <w:tcW w:w="810" w:type="dxa"/>
            <w:gridSpan w:val="2"/>
            <w:vAlign w:val="center"/>
          </w:tcPr>
          <w:p w14:paraId="31CC3CF6" w14:textId="77777777" w:rsidR="00B5190E" w:rsidRPr="00C45DC3" w:rsidRDefault="00B5190E" w:rsidP="3D43DD34">
            <w:pPr>
              <w:keepNext/>
              <w:keepLines/>
              <w:pBdr>
                <w:top w:val="nil"/>
                <w:left w:val="nil"/>
                <w:bottom w:val="nil"/>
                <w:right w:val="nil"/>
                <w:between w:val="nil"/>
              </w:pBdr>
              <w:shd w:val="clear" w:color="auto" w:fill="FFFFFF" w:themeFill="background1"/>
              <w:rPr>
                <w:rFonts w:ascii="Lato" w:eastAsia="Lato" w:hAnsi="Lato" w:cs="Lato"/>
                <w:color w:val="636669"/>
                <w:sz w:val="16"/>
                <w:szCs w:val="16"/>
              </w:rPr>
            </w:pPr>
          </w:p>
        </w:tc>
        <w:tc>
          <w:tcPr>
            <w:tcW w:w="4680" w:type="dxa"/>
            <w:gridSpan w:val="2"/>
            <w:vAlign w:val="center"/>
          </w:tcPr>
          <w:p w14:paraId="034B8A1B" w14:textId="77777777" w:rsidR="00B5190E" w:rsidRPr="00C45DC3" w:rsidRDefault="28DF5A72" w:rsidP="3D43DD34">
            <w:pPr>
              <w:keepNext/>
              <w:keepLines/>
              <w:pBdr>
                <w:top w:val="nil"/>
                <w:left w:val="nil"/>
                <w:bottom w:val="nil"/>
                <w:right w:val="nil"/>
                <w:between w:val="nil"/>
              </w:pBdr>
              <w:shd w:val="clear" w:color="auto" w:fill="FFFFFF" w:themeFill="background1"/>
              <w:rPr>
                <w:rFonts w:ascii="Lato" w:eastAsia="Lato" w:hAnsi="Lato" w:cs="Lato"/>
                <w:color w:val="636669"/>
                <w:sz w:val="16"/>
                <w:szCs w:val="16"/>
              </w:rPr>
            </w:pPr>
            <w:r w:rsidRPr="3D43DD34">
              <w:rPr>
                <w:rFonts w:ascii="Lato" w:eastAsia="Lato" w:hAnsi="Lato" w:cs="Lato"/>
                <w:b/>
                <w:bCs/>
                <w:color w:val="008EAA"/>
                <w:sz w:val="18"/>
                <w:szCs w:val="18"/>
              </w:rPr>
              <w:t>PRISMHR, LLC</w:t>
            </w:r>
          </w:p>
        </w:tc>
      </w:tr>
      <w:tr w:rsidR="00B5190E" w:rsidRPr="004E1EF2" w14:paraId="1E92FDF7" w14:textId="77777777" w:rsidTr="3D43DD34">
        <w:trPr>
          <w:cantSplit/>
          <w:trHeight w:val="432"/>
          <w:jc w:val="center"/>
        </w:trPr>
        <w:tc>
          <w:tcPr>
            <w:tcW w:w="1260" w:type="dxa"/>
            <w:vAlign w:val="center"/>
          </w:tcPr>
          <w:p w14:paraId="3AD5C06E" w14:textId="77777777" w:rsidR="00B5190E" w:rsidRPr="00C45DC3" w:rsidRDefault="28DF5A72" w:rsidP="3D43DD34">
            <w:pPr>
              <w:keepNext/>
              <w:keepLines/>
              <w:pBdr>
                <w:top w:val="nil"/>
                <w:left w:val="nil"/>
                <w:bottom w:val="nil"/>
                <w:right w:val="nil"/>
                <w:between w:val="nil"/>
              </w:pBdr>
              <w:shd w:val="clear" w:color="auto" w:fill="FFFFFF" w:themeFill="background1"/>
              <w:jc w:val="right"/>
              <w:rPr>
                <w:rFonts w:ascii="Lato" w:eastAsia="Lato" w:hAnsi="Lato" w:cs="Lato"/>
                <w:color w:val="636669"/>
                <w:sz w:val="16"/>
                <w:szCs w:val="16"/>
              </w:rPr>
            </w:pPr>
            <w:r w:rsidRPr="3D43DD34">
              <w:rPr>
                <w:rFonts w:ascii="Lato" w:eastAsia="Lato" w:hAnsi="Lato" w:cs="Lato"/>
                <w:color w:val="636669"/>
                <w:sz w:val="16"/>
                <w:szCs w:val="16"/>
              </w:rPr>
              <w:t>Signed</w:t>
            </w:r>
          </w:p>
        </w:tc>
        <w:tc>
          <w:tcPr>
            <w:tcW w:w="3240" w:type="dxa"/>
            <w:tcBorders>
              <w:bottom w:val="single" w:sz="4" w:space="0" w:color="auto"/>
            </w:tcBorders>
            <w:vAlign w:val="center"/>
          </w:tcPr>
          <w:p w14:paraId="35441D49" w14:textId="77777777" w:rsidR="00B5190E" w:rsidRPr="00C45DC3" w:rsidRDefault="00B5190E" w:rsidP="3D43DD34">
            <w:pPr>
              <w:keepNext/>
              <w:keepLines/>
              <w:shd w:val="clear" w:color="auto" w:fill="FFFFFF" w:themeFill="background1"/>
              <w:jc w:val="both"/>
              <w:rPr>
                <w:rFonts w:ascii="Lato" w:eastAsia="Lato" w:hAnsi="Lato" w:cs="Lato"/>
                <w:color w:val="636669"/>
                <w:sz w:val="16"/>
                <w:szCs w:val="16"/>
              </w:rPr>
            </w:pPr>
          </w:p>
        </w:tc>
        <w:tc>
          <w:tcPr>
            <w:tcW w:w="450" w:type="dxa"/>
            <w:vAlign w:val="center"/>
          </w:tcPr>
          <w:p w14:paraId="11244234" w14:textId="77777777" w:rsidR="00B5190E" w:rsidRPr="00C45DC3" w:rsidRDefault="00B5190E" w:rsidP="3D43DD34">
            <w:pPr>
              <w:keepNext/>
              <w:keepLines/>
              <w:pBdr>
                <w:top w:val="nil"/>
                <w:left w:val="nil"/>
                <w:bottom w:val="nil"/>
                <w:right w:val="nil"/>
                <w:between w:val="nil"/>
              </w:pBdr>
              <w:shd w:val="clear" w:color="auto" w:fill="FFFFFF" w:themeFill="background1"/>
              <w:rPr>
                <w:rFonts w:ascii="Lato" w:eastAsia="Lato" w:hAnsi="Lato" w:cs="Lato"/>
                <w:color w:val="636669"/>
                <w:sz w:val="16"/>
                <w:szCs w:val="16"/>
              </w:rPr>
            </w:pPr>
          </w:p>
        </w:tc>
        <w:tc>
          <w:tcPr>
            <w:tcW w:w="1620" w:type="dxa"/>
            <w:gridSpan w:val="2"/>
            <w:vAlign w:val="center"/>
          </w:tcPr>
          <w:p w14:paraId="370C7FB6" w14:textId="77777777" w:rsidR="00B5190E" w:rsidRPr="00C45DC3" w:rsidRDefault="28DF5A72" w:rsidP="3D43DD34">
            <w:pPr>
              <w:keepNext/>
              <w:keepLines/>
              <w:pBdr>
                <w:top w:val="nil"/>
                <w:left w:val="nil"/>
                <w:bottom w:val="nil"/>
                <w:right w:val="nil"/>
                <w:between w:val="nil"/>
              </w:pBdr>
              <w:shd w:val="clear" w:color="auto" w:fill="FFFFFF" w:themeFill="background1"/>
              <w:jc w:val="right"/>
              <w:rPr>
                <w:rFonts w:ascii="Lato" w:eastAsia="Lato" w:hAnsi="Lato" w:cs="Lato"/>
                <w:color w:val="636669"/>
                <w:sz w:val="16"/>
                <w:szCs w:val="16"/>
              </w:rPr>
            </w:pPr>
            <w:r w:rsidRPr="3D43DD34">
              <w:rPr>
                <w:rFonts w:ascii="Lato" w:eastAsia="Lato" w:hAnsi="Lato" w:cs="Lato"/>
                <w:color w:val="636669"/>
                <w:sz w:val="16"/>
                <w:szCs w:val="16"/>
              </w:rPr>
              <w:t>Signed</w:t>
            </w:r>
          </w:p>
        </w:tc>
        <w:tc>
          <w:tcPr>
            <w:tcW w:w="3420" w:type="dxa"/>
            <w:tcBorders>
              <w:bottom w:val="single" w:sz="4" w:space="0" w:color="auto"/>
            </w:tcBorders>
            <w:vAlign w:val="center"/>
          </w:tcPr>
          <w:p w14:paraId="758C3325" w14:textId="77777777" w:rsidR="00B5190E" w:rsidRPr="00C45DC3" w:rsidRDefault="00B5190E" w:rsidP="3D43DD34">
            <w:pPr>
              <w:keepNext/>
              <w:keepLines/>
              <w:pBdr>
                <w:top w:val="nil"/>
                <w:left w:val="nil"/>
                <w:bottom w:val="nil"/>
                <w:right w:val="nil"/>
                <w:between w:val="nil"/>
              </w:pBdr>
              <w:shd w:val="clear" w:color="auto" w:fill="FFFFFF" w:themeFill="background1"/>
              <w:rPr>
                <w:rFonts w:ascii="Lato" w:eastAsia="Lato" w:hAnsi="Lato" w:cs="Lato"/>
                <w:color w:val="636669"/>
                <w:sz w:val="16"/>
                <w:szCs w:val="16"/>
              </w:rPr>
            </w:pPr>
          </w:p>
        </w:tc>
      </w:tr>
      <w:tr w:rsidR="00B5190E" w:rsidRPr="004E1EF2" w14:paraId="691602A2" w14:textId="77777777" w:rsidTr="3D43DD34">
        <w:trPr>
          <w:cantSplit/>
          <w:trHeight w:val="432"/>
          <w:jc w:val="center"/>
        </w:trPr>
        <w:tc>
          <w:tcPr>
            <w:tcW w:w="1260" w:type="dxa"/>
            <w:vAlign w:val="center"/>
          </w:tcPr>
          <w:p w14:paraId="0825B963" w14:textId="77777777" w:rsidR="00B5190E" w:rsidRDefault="28DF5A72" w:rsidP="3D43DD34">
            <w:pPr>
              <w:keepNext/>
              <w:keepLines/>
              <w:pBdr>
                <w:top w:val="nil"/>
                <w:left w:val="nil"/>
                <w:bottom w:val="nil"/>
                <w:right w:val="nil"/>
                <w:between w:val="nil"/>
              </w:pBdr>
              <w:shd w:val="clear" w:color="auto" w:fill="FFFFFF" w:themeFill="background1"/>
              <w:jc w:val="right"/>
              <w:rPr>
                <w:rFonts w:ascii="Lato" w:eastAsia="Lato" w:hAnsi="Lato" w:cs="Lato"/>
                <w:color w:val="636669"/>
                <w:sz w:val="16"/>
                <w:szCs w:val="16"/>
              </w:rPr>
            </w:pPr>
            <w:r w:rsidRPr="3D43DD34">
              <w:rPr>
                <w:rFonts w:ascii="Lato" w:eastAsia="Lato" w:hAnsi="Lato" w:cs="Lato"/>
                <w:color w:val="636669"/>
                <w:sz w:val="16"/>
                <w:szCs w:val="16"/>
              </w:rPr>
              <w:t>Printed Name</w:t>
            </w:r>
          </w:p>
        </w:tc>
        <w:tc>
          <w:tcPr>
            <w:tcW w:w="3240" w:type="dxa"/>
            <w:tcBorders>
              <w:top w:val="single" w:sz="4" w:space="0" w:color="auto"/>
              <w:bottom w:val="single" w:sz="4" w:space="0" w:color="auto"/>
            </w:tcBorders>
            <w:vAlign w:val="center"/>
          </w:tcPr>
          <w:p w14:paraId="2A45B779" w14:textId="77777777" w:rsidR="00B5190E" w:rsidRPr="00C45DC3" w:rsidRDefault="00B5190E" w:rsidP="3D43DD34">
            <w:pPr>
              <w:keepNext/>
              <w:keepLines/>
              <w:pBdr>
                <w:top w:val="nil"/>
                <w:left w:val="nil"/>
                <w:bottom w:val="nil"/>
                <w:right w:val="nil"/>
                <w:between w:val="nil"/>
              </w:pBdr>
              <w:shd w:val="clear" w:color="auto" w:fill="FFFFFF" w:themeFill="background1"/>
              <w:jc w:val="both"/>
              <w:rPr>
                <w:rFonts w:ascii="Lato" w:eastAsia="Lato" w:hAnsi="Lato" w:cs="Lato"/>
                <w:color w:val="636669"/>
                <w:sz w:val="16"/>
                <w:szCs w:val="16"/>
              </w:rPr>
            </w:pPr>
          </w:p>
        </w:tc>
        <w:tc>
          <w:tcPr>
            <w:tcW w:w="450" w:type="dxa"/>
            <w:vAlign w:val="center"/>
          </w:tcPr>
          <w:p w14:paraId="4F9C72C0" w14:textId="77777777" w:rsidR="00B5190E" w:rsidRPr="00C45DC3" w:rsidRDefault="00B5190E" w:rsidP="3D43DD34">
            <w:pPr>
              <w:keepNext/>
              <w:keepLines/>
              <w:pBdr>
                <w:top w:val="nil"/>
                <w:left w:val="nil"/>
                <w:bottom w:val="nil"/>
                <w:right w:val="nil"/>
                <w:between w:val="nil"/>
              </w:pBdr>
              <w:shd w:val="clear" w:color="auto" w:fill="FFFFFF" w:themeFill="background1"/>
              <w:rPr>
                <w:rFonts w:ascii="Lato" w:eastAsia="Lato" w:hAnsi="Lato" w:cs="Lato"/>
                <w:color w:val="636669"/>
                <w:sz w:val="16"/>
                <w:szCs w:val="16"/>
              </w:rPr>
            </w:pPr>
          </w:p>
        </w:tc>
        <w:tc>
          <w:tcPr>
            <w:tcW w:w="1620" w:type="dxa"/>
            <w:gridSpan w:val="2"/>
            <w:vAlign w:val="center"/>
          </w:tcPr>
          <w:p w14:paraId="3FEB08C4" w14:textId="77777777" w:rsidR="00B5190E" w:rsidRDefault="28DF5A72" w:rsidP="3D43DD34">
            <w:pPr>
              <w:keepNext/>
              <w:keepLines/>
              <w:pBdr>
                <w:top w:val="nil"/>
                <w:left w:val="nil"/>
                <w:bottom w:val="nil"/>
                <w:right w:val="nil"/>
                <w:between w:val="nil"/>
              </w:pBdr>
              <w:shd w:val="clear" w:color="auto" w:fill="FFFFFF" w:themeFill="background1"/>
              <w:jc w:val="right"/>
              <w:rPr>
                <w:rFonts w:ascii="Lato" w:eastAsia="Lato" w:hAnsi="Lato" w:cs="Lato"/>
                <w:color w:val="636669"/>
                <w:sz w:val="16"/>
                <w:szCs w:val="16"/>
              </w:rPr>
            </w:pPr>
            <w:r w:rsidRPr="3D43DD34">
              <w:rPr>
                <w:rFonts w:ascii="Lato" w:eastAsia="Lato" w:hAnsi="Lato" w:cs="Lato"/>
                <w:color w:val="636669"/>
                <w:sz w:val="16"/>
                <w:szCs w:val="16"/>
              </w:rPr>
              <w:t>Printed Name</w:t>
            </w:r>
          </w:p>
        </w:tc>
        <w:tc>
          <w:tcPr>
            <w:tcW w:w="3420" w:type="dxa"/>
            <w:tcBorders>
              <w:top w:val="single" w:sz="4" w:space="0" w:color="auto"/>
              <w:bottom w:val="single" w:sz="4" w:space="0" w:color="auto"/>
            </w:tcBorders>
            <w:vAlign w:val="center"/>
          </w:tcPr>
          <w:p w14:paraId="36BC18F3" w14:textId="77777777" w:rsidR="00B5190E" w:rsidRPr="00C45DC3" w:rsidRDefault="00B5190E" w:rsidP="3D43DD34">
            <w:pPr>
              <w:keepNext/>
              <w:keepLines/>
              <w:pBdr>
                <w:top w:val="nil"/>
                <w:left w:val="nil"/>
                <w:bottom w:val="nil"/>
                <w:right w:val="nil"/>
                <w:between w:val="nil"/>
              </w:pBdr>
              <w:shd w:val="clear" w:color="auto" w:fill="FFFFFF" w:themeFill="background1"/>
              <w:rPr>
                <w:rFonts w:ascii="Lato" w:eastAsia="Lato" w:hAnsi="Lato" w:cs="Lato"/>
                <w:color w:val="636669"/>
                <w:sz w:val="16"/>
                <w:szCs w:val="16"/>
              </w:rPr>
            </w:pPr>
          </w:p>
        </w:tc>
      </w:tr>
      <w:tr w:rsidR="00B5190E" w:rsidRPr="004E1EF2" w14:paraId="0374549E" w14:textId="77777777" w:rsidTr="3D43DD34">
        <w:trPr>
          <w:cantSplit/>
          <w:trHeight w:val="432"/>
          <w:jc w:val="center"/>
        </w:trPr>
        <w:tc>
          <w:tcPr>
            <w:tcW w:w="1260" w:type="dxa"/>
            <w:vAlign w:val="center"/>
          </w:tcPr>
          <w:p w14:paraId="0C6FF153" w14:textId="77777777" w:rsidR="00B5190E" w:rsidRDefault="28DF5A72" w:rsidP="3D43DD34">
            <w:pPr>
              <w:keepNext/>
              <w:keepLines/>
              <w:pBdr>
                <w:top w:val="nil"/>
                <w:left w:val="nil"/>
                <w:bottom w:val="nil"/>
                <w:right w:val="nil"/>
                <w:between w:val="nil"/>
              </w:pBdr>
              <w:shd w:val="clear" w:color="auto" w:fill="FFFFFF" w:themeFill="background1"/>
              <w:jc w:val="right"/>
              <w:rPr>
                <w:rFonts w:ascii="Lato" w:eastAsia="Lato" w:hAnsi="Lato" w:cs="Lato"/>
                <w:color w:val="636669"/>
                <w:sz w:val="16"/>
                <w:szCs w:val="16"/>
              </w:rPr>
            </w:pPr>
            <w:r w:rsidRPr="3D43DD34">
              <w:rPr>
                <w:rFonts w:ascii="Lato" w:eastAsia="Lato" w:hAnsi="Lato" w:cs="Lato"/>
                <w:color w:val="636669"/>
                <w:sz w:val="16"/>
                <w:szCs w:val="16"/>
              </w:rPr>
              <w:t>Title</w:t>
            </w:r>
          </w:p>
        </w:tc>
        <w:tc>
          <w:tcPr>
            <w:tcW w:w="3240" w:type="dxa"/>
            <w:tcBorders>
              <w:top w:val="single" w:sz="4" w:space="0" w:color="auto"/>
              <w:bottom w:val="single" w:sz="4" w:space="0" w:color="auto"/>
            </w:tcBorders>
            <w:vAlign w:val="center"/>
          </w:tcPr>
          <w:p w14:paraId="3D89A2EB" w14:textId="77777777" w:rsidR="00B5190E" w:rsidRPr="00C45DC3" w:rsidRDefault="00B5190E" w:rsidP="3D43DD34">
            <w:pPr>
              <w:keepNext/>
              <w:keepLines/>
              <w:pBdr>
                <w:top w:val="nil"/>
                <w:left w:val="nil"/>
                <w:bottom w:val="nil"/>
                <w:right w:val="nil"/>
                <w:between w:val="nil"/>
              </w:pBdr>
              <w:shd w:val="clear" w:color="auto" w:fill="FFFFFF" w:themeFill="background1"/>
              <w:jc w:val="both"/>
              <w:rPr>
                <w:rFonts w:ascii="Lato" w:eastAsia="Lato" w:hAnsi="Lato" w:cs="Lato"/>
                <w:color w:val="636669"/>
                <w:sz w:val="16"/>
                <w:szCs w:val="16"/>
              </w:rPr>
            </w:pPr>
          </w:p>
        </w:tc>
        <w:tc>
          <w:tcPr>
            <w:tcW w:w="450" w:type="dxa"/>
            <w:vAlign w:val="center"/>
          </w:tcPr>
          <w:p w14:paraId="643BD9D3" w14:textId="77777777" w:rsidR="00B5190E" w:rsidRPr="00C45DC3" w:rsidRDefault="00B5190E" w:rsidP="3D43DD34">
            <w:pPr>
              <w:keepNext/>
              <w:keepLines/>
              <w:pBdr>
                <w:top w:val="nil"/>
                <w:left w:val="nil"/>
                <w:bottom w:val="nil"/>
                <w:right w:val="nil"/>
                <w:between w:val="nil"/>
              </w:pBdr>
              <w:shd w:val="clear" w:color="auto" w:fill="FFFFFF" w:themeFill="background1"/>
              <w:rPr>
                <w:rFonts w:ascii="Lato" w:eastAsia="Lato" w:hAnsi="Lato" w:cs="Lato"/>
                <w:color w:val="636669"/>
                <w:sz w:val="16"/>
                <w:szCs w:val="16"/>
              </w:rPr>
            </w:pPr>
          </w:p>
        </w:tc>
        <w:tc>
          <w:tcPr>
            <w:tcW w:w="1620" w:type="dxa"/>
            <w:gridSpan w:val="2"/>
            <w:vAlign w:val="center"/>
          </w:tcPr>
          <w:p w14:paraId="6720664A" w14:textId="77777777" w:rsidR="00B5190E" w:rsidRDefault="28DF5A72" w:rsidP="3D43DD34">
            <w:pPr>
              <w:keepNext/>
              <w:keepLines/>
              <w:pBdr>
                <w:top w:val="nil"/>
                <w:left w:val="nil"/>
                <w:bottom w:val="nil"/>
                <w:right w:val="nil"/>
                <w:between w:val="nil"/>
              </w:pBdr>
              <w:shd w:val="clear" w:color="auto" w:fill="FFFFFF" w:themeFill="background1"/>
              <w:jc w:val="right"/>
              <w:rPr>
                <w:rFonts w:ascii="Lato" w:eastAsia="Lato" w:hAnsi="Lato" w:cs="Lato"/>
                <w:color w:val="636669"/>
                <w:sz w:val="16"/>
                <w:szCs w:val="16"/>
              </w:rPr>
            </w:pPr>
            <w:r w:rsidRPr="3D43DD34">
              <w:rPr>
                <w:rFonts w:ascii="Lato" w:eastAsia="Lato" w:hAnsi="Lato" w:cs="Lato"/>
                <w:color w:val="636669"/>
                <w:sz w:val="16"/>
                <w:szCs w:val="16"/>
              </w:rPr>
              <w:t>Title</w:t>
            </w:r>
          </w:p>
        </w:tc>
        <w:tc>
          <w:tcPr>
            <w:tcW w:w="3420" w:type="dxa"/>
            <w:tcBorders>
              <w:top w:val="single" w:sz="4" w:space="0" w:color="auto"/>
              <w:bottom w:val="single" w:sz="4" w:space="0" w:color="auto"/>
            </w:tcBorders>
            <w:vAlign w:val="center"/>
          </w:tcPr>
          <w:p w14:paraId="610121A3" w14:textId="77777777" w:rsidR="00B5190E" w:rsidRPr="00C45DC3" w:rsidRDefault="00B5190E" w:rsidP="3D43DD34">
            <w:pPr>
              <w:keepNext/>
              <w:keepLines/>
              <w:pBdr>
                <w:top w:val="nil"/>
                <w:left w:val="nil"/>
                <w:bottom w:val="nil"/>
                <w:right w:val="nil"/>
                <w:between w:val="nil"/>
              </w:pBdr>
              <w:shd w:val="clear" w:color="auto" w:fill="FFFFFF" w:themeFill="background1"/>
              <w:rPr>
                <w:rFonts w:ascii="Lato" w:eastAsia="Lato" w:hAnsi="Lato" w:cs="Lato"/>
                <w:color w:val="636669"/>
                <w:sz w:val="16"/>
                <w:szCs w:val="16"/>
              </w:rPr>
            </w:pPr>
          </w:p>
        </w:tc>
      </w:tr>
      <w:tr w:rsidR="00B5190E" w:rsidRPr="004E1EF2" w14:paraId="3DA8EFC0" w14:textId="77777777" w:rsidTr="3D43DD34">
        <w:trPr>
          <w:cantSplit/>
          <w:trHeight w:val="432"/>
          <w:jc w:val="center"/>
        </w:trPr>
        <w:tc>
          <w:tcPr>
            <w:tcW w:w="1260" w:type="dxa"/>
            <w:vAlign w:val="center"/>
          </w:tcPr>
          <w:p w14:paraId="20DEE22E" w14:textId="77777777" w:rsidR="00B5190E" w:rsidRDefault="28DF5A72" w:rsidP="3D43DD34">
            <w:pPr>
              <w:keepNext/>
              <w:keepLines/>
              <w:pBdr>
                <w:top w:val="nil"/>
                <w:left w:val="nil"/>
                <w:bottom w:val="nil"/>
                <w:right w:val="nil"/>
                <w:between w:val="nil"/>
              </w:pBdr>
              <w:shd w:val="clear" w:color="auto" w:fill="FFFFFF" w:themeFill="background1"/>
              <w:jc w:val="right"/>
              <w:rPr>
                <w:rFonts w:ascii="Lato" w:eastAsia="Lato" w:hAnsi="Lato" w:cs="Lato"/>
                <w:color w:val="636669"/>
                <w:sz w:val="16"/>
                <w:szCs w:val="16"/>
              </w:rPr>
            </w:pPr>
            <w:r w:rsidRPr="3D43DD34">
              <w:rPr>
                <w:rFonts w:ascii="Lato" w:eastAsia="Lato" w:hAnsi="Lato" w:cs="Lato"/>
                <w:color w:val="636669"/>
                <w:sz w:val="16"/>
                <w:szCs w:val="16"/>
              </w:rPr>
              <w:t>Date</w:t>
            </w:r>
          </w:p>
        </w:tc>
        <w:tc>
          <w:tcPr>
            <w:tcW w:w="3240" w:type="dxa"/>
            <w:tcBorders>
              <w:top w:val="single" w:sz="4" w:space="0" w:color="auto"/>
              <w:bottom w:val="single" w:sz="4" w:space="0" w:color="auto"/>
            </w:tcBorders>
            <w:vAlign w:val="center"/>
          </w:tcPr>
          <w:p w14:paraId="2197BBB4" w14:textId="77777777" w:rsidR="00B5190E" w:rsidRPr="00C45DC3" w:rsidRDefault="00B5190E" w:rsidP="3D43DD34">
            <w:pPr>
              <w:keepNext/>
              <w:keepLines/>
              <w:pBdr>
                <w:top w:val="nil"/>
                <w:left w:val="nil"/>
                <w:bottom w:val="nil"/>
                <w:right w:val="nil"/>
                <w:between w:val="nil"/>
              </w:pBdr>
              <w:shd w:val="clear" w:color="auto" w:fill="FFFFFF" w:themeFill="background1"/>
              <w:jc w:val="both"/>
              <w:rPr>
                <w:rFonts w:ascii="Lato" w:eastAsia="Lato" w:hAnsi="Lato" w:cs="Lato"/>
                <w:color w:val="636669"/>
                <w:sz w:val="16"/>
                <w:szCs w:val="16"/>
              </w:rPr>
            </w:pPr>
          </w:p>
        </w:tc>
        <w:tc>
          <w:tcPr>
            <w:tcW w:w="450" w:type="dxa"/>
            <w:vAlign w:val="center"/>
          </w:tcPr>
          <w:p w14:paraId="5508BCAF" w14:textId="77777777" w:rsidR="00B5190E" w:rsidRPr="00C45DC3" w:rsidRDefault="00B5190E" w:rsidP="3D43DD34">
            <w:pPr>
              <w:keepNext/>
              <w:keepLines/>
              <w:pBdr>
                <w:top w:val="nil"/>
                <w:left w:val="nil"/>
                <w:bottom w:val="nil"/>
                <w:right w:val="nil"/>
                <w:between w:val="nil"/>
              </w:pBdr>
              <w:shd w:val="clear" w:color="auto" w:fill="FFFFFF" w:themeFill="background1"/>
              <w:rPr>
                <w:rFonts w:ascii="Lato" w:eastAsia="Lato" w:hAnsi="Lato" w:cs="Lato"/>
                <w:color w:val="636669"/>
                <w:sz w:val="16"/>
                <w:szCs w:val="16"/>
              </w:rPr>
            </w:pPr>
          </w:p>
        </w:tc>
        <w:tc>
          <w:tcPr>
            <w:tcW w:w="1620" w:type="dxa"/>
            <w:gridSpan w:val="2"/>
            <w:vAlign w:val="center"/>
          </w:tcPr>
          <w:p w14:paraId="4B3B6CAD" w14:textId="77777777" w:rsidR="00B5190E" w:rsidRDefault="28DF5A72" w:rsidP="3D43DD34">
            <w:pPr>
              <w:keepNext/>
              <w:keepLines/>
              <w:pBdr>
                <w:top w:val="nil"/>
                <w:left w:val="nil"/>
                <w:bottom w:val="nil"/>
                <w:right w:val="nil"/>
                <w:between w:val="nil"/>
              </w:pBdr>
              <w:shd w:val="clear" w:color="auto" w:fill="FFFFFF" w:themeFill="background1"/>
              <w:jc w:val="right"/>
              <w:rPr>
                <w:rFonts w:ascii="Lato" w:eastAsia="Lato" w:hAnsi="Lato" w:cs="Lato"/>
                <w:color w:val="636669"/>
                <w:sz w:val="16"/>
                <w:szCs w:val="16"/>
              </w:rPr>
            </w:pPr>
            <w:r w:rsidRPr="3D43DD34">
              <w:rPr>
                <w:rFonts w:ascii="Lato" w:eastAsia="Lato" w:hAnsi="Lato" w:cs="Lato"/>
                <w:color w:val="636669"/>
                <w:sz w:val="16"/>
                <w:szCs w:val="16"/>
              </w:rPr>
              <w:t>Date</w:t>
            </w:r>
          </w:p>
        </w:tc>
        <w:tc>
          <w:tcPr>
            <w:tcW w:w="3420" w:type="dxa"/>
            <w:tcBorders>
              <w:top w:val="single" w:sz="4" w:space="0" w:color="auto"/>
              <w:bottom w:val="single" w:sz="4" w:space="0" w:color="auto"/>
            </w:tcBorders>
            <w:vAlign w:val="center"/>
          </w:tcPr>
          <w:p w14:paraId="41C5004A" w14:textId="77777777" w:rsidR="00B5190E" w:rsidRPr="00C45DC3" w:rsidRDefault="00B5190E" w:rsidP="3D43DD34">
            <w:pPr>
              <w:keepNext/>
              <w:keepLines/>
              <w:pBdr>
                <w:top w:val="nil"/>
                <w:left w:val="nil"/>
                <w:bottom w:val="nil"/>
                <w:right w:val="nil"/>
                <w:between w:val="nil"/>
              </w:pBdr>
              <w:shd w:val="clear" w:color="auto" w:fill="FFFFFF" w:themeFill="background1"/>
              <w:rPr>
                <w:rFonts w:ascii="Lato" w:eastAsia="Lato" w:hAnsi="Lato" w:cs="Lato"/>
                <w:color w:val="636669"/>
                <w:sz w:val="16"/>
                <w:szCs w:val="16"/>
              </w:rPr>
            </w:pPr>
          </w:p>
        </w:tc>
      </w:tr>
    </w:tbl>
    <w:p w14:paraId="72EB6730" w14:textId="0C1D4D88" w:rsidR="00791A2E" w:rsidRDefault="00791A2E" w:rsidP="3D43DD34">
      <w:pPr>
        <w:rPr>
          <w:rFonts w:ascii="Lato" w:eastAsia="Lato" w:hAnsi="Lato" w:cs="Lato"/>
          <w:color w:val="636669"/>
          <w:sz w:val="16"/>
          <w:szCs w:val="16"/>
        </w:rPr>
      </w:pPr>
    </w:p>
    <w:p w14:paraId="4450958F" w14:textId="2C6209F3" w:rsidR="3D43DD34" w:rsidRDefault="3D43DD34" w:rsidP="3D43DD34">
      <w:pPr>
        <w:rPr>
          <w:rFonts w:ascii="Lato" w:eastAsia="Lato" w:hAnsi="Lato" w:cs="Lato"/>
        </w:rPr>
      </w:pPr>
      <w:r w:rsidRPr="3D43DD34">
        <w:rPr>
          <w:rFonts w:ascii="Lato" w:eastAsia="Lato" w:hAnsi="Lato" w:cs="Lato"/>
        </w:rPr>
        <w:br w:type="page"/>
      </w:r>
    </w:p>
    <w:p w14:paraId="25946989" w14:textId="02F0EE90" w:rsidR="4188218F" w:rsidRDefault="4188218F" w:rsidP="3D43DD34">
      <w:pPr>
        <w:pStyle w:val="Heading1"/>
        <w:ind w:left="2" w:right="13"/>
        <w:jc w:val="center"/>
        <w:rPr>
          <w:rFonts w:ascii="Lato" w:eastAsia="Lato" w:hAnsi="Lato" w:cs="Lato"/>
          <w:b/>
          <w:bCs/>
          <w:color w:val="000000" w:themeColor="text1"/>
          <w:sz w:val="20"/>
          <w:szCs w:val="20"/>
        </w:rPr>
      </w:pPr>
      <w:r w:rsidRPr="3D43DD34">
        <w:rPr>
          <w:rFonts w:ascii="Lato" w:eastAsia="Lato" w:hAnsi="Lato" w:cs="Lato"/>
          <w:b/>
          <w:bCs/>
          <w:color w:val="000000" w:themeColor="text1"/>
          <w:sz w:val="20"/>
          <w:szCs w:val="20"/>
        </w:rPr>
        <w:lastRenderedPageBreak/>
        <w:t>ANNEX A</w:t>
      </w:r>
    </w:p>
    <w:p w14:paraId="1CA97493" w14:textId="576C6BD3" w:rsidR="4188218F" w:rsidRDefault="4188218F" w:rsidP="3D43DD34">
      <w:pPr>
        <w:spacing w:before="128"/>
        <w:ind w:right="13"/>
        <w:jc w:val="center"/>
        <w:rPr>
          <w:rFonts w:ascii="Lato" w:eastAsia="Lato" w:hAnsi="Lato" w:cs="Lato"/>
          <w:color w:val="000000" w:themeColor="text1"/>
          <w:sz w:val="20"/>
          <w:szCs w:val="20"/>
        </w:rPr>
      </w:pPr>
      <w:r w:rsidRPr="3D43DD34">
        <w:rPr>
          <w:rFonts w:ascii="Lato" w:eastAsia="Lato" w:hAnsi="Lato" w:cs="Lato"/>
          <w:b/>
          <w:bCs/>
          <w:color w:val="000000" w:themeColor="text1"/>
          <w:sz w:val="20"/>
          <w:szCs w:val="20"/>
        </w:rPr>
        <w:t>GLOBAL WORKFORCE SOLUTIONS TERMS AND CONDITIONS</w:t>
      </w:r>
    </w:p>
    <w:p w14:paraId="3F1CD796" w14:textId="682B16E9" w:rsidR="4188218F" w:rsidRDefault="4188218F" w:rsidP="3D43DD34">
      <w:pPr>
        <w:spacing w:line="276"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u w:val="single"/>
        </w:rPr>
        <w:t>Scope</w:t>
      </w:r>
    </w:p>
    <w:p w14:paraId="039EE3D5" w14:textId="32B5C8AF"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This Annex is incorporated into and made a part of the Master Software as a Service Agreement between PrismHR and Customer (the “MSSA” or “Agreement”).</w:t>
      </w:r>
    </w:p>
    <w:p w14:paraId="137422B9" w14:textId="70490590"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PrismHR provides global workforce solutions, including employer of record, contractor management, and contractor of record services (collectively, the “Global Services”). Customer wishes to obtain the Global Services from PrismHR on a wholesale basis and to resell them to Customer’s own clients (each, an “End Customer”), and</w:t>
      </w:r>
      <w:r w:rsidRPr="3D43DD34">
        <w:rPr>
          <w:rFonts w:ascii="Lato" w:eastAsia="Lato" w:hAnsi="Lato" w:cs="Lato"/>
          <w:b/>
          <w:bCs/>
          <w:color w:val="000000" w:themeColor="text1"/>
          <w:sz w:val="20"/>
          <w:szCs w:val="20"/>
        </w:rPr>
        <w:t xml:space="preserve"> </w:t>
      </w:r>
      <w:r w:rsidRPr="3D43DD34">
        <w:rPr>
          <w:rFonts w:ascii="Lato" w:eastAsia="Lato" w:hAnsi="Lato" w:cs="Lato"/>
          <w:color w:val="000000" w:themeColor="text1"/>
          <w:sz w:val="20"/>
          <w:szCs w:val="20"/>
        </w:rPr>
        <w:t>the Parties intend that Customer will remain the sole party that contracts with, prices to, invoices, and collects from End Customers, and that PrismHR will have no contractual relationship with any End Customer.</w:t>
      </w:r>
    </w:p>
    <w:p w14:paraId="11AB9F6C" w14:textId="29C734FF"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This annex covers the terms under which PrismHR shall provide the Global Services to Customer. </w:t>
      </w:r>
    </w:p>
    <w:p w14:paraId="3F639874" w14:textId="7EE75D02" w:rsidR="4188218F" w:rsidRDefault="4188218F" w:rsidP="3D43DD34">
      <w:pPr>
        <w:spacing w:line="276"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If the terms and conditions of this Annex conflict with the terms and conditions of the Agreement, the terms and conditions of this Exhibit shall control with respect to the provision of the Global Services.</w:t>
      </w:r>
    </w:p>
    <w:p w14:paraId="4FB721ED" w14:textId="4B26DD83" w:rsidR="4188218F" w:rsidRDefault="4188218F" w:rsidP="3D43DD34">
      <w:pPr>
        <w:pStyle w:val="Heading1"/>
        <w:spacing w:before="320" w:after="140"/>
        <w:ind w:right="13"/>
        <w:rPr>
          <w:rFonts w:ascii="Lato" w:eastAsia="Lato" w:hAnsi="Lato" w:cs="Lato"/>
          <w:b/>
          <w:bCs/>
          <w:color w:val="000000" w:themeColor="text1"/>
          <w:sz w:val="20"/>
          <w:szCs w:val="20"/>
        </w:rPr>
      </w:pPr>
      <w:r w:rsidRPr="3D43DD34">
        <w:rPr>
          <w:rFonts w:ascii="Lato" w:eastAsia="Lato" w:hAnsi="Lato" w:cs="Lato"/>
          <w:color w:val="000000" w:themeColor="text1"/>
          <w:sz w:val="20"/>
          <w:szCs w:val="20"/>
        </w:rPr>
        <w:t xml:space="preserve">1) </w:t>
      </w:r>
      <w:r w:rsidRPr="3D43DD34">
        <w:rPr>
          <w:rFonts w:ascii="Lato" w:eastAsia="Lato" w:hAnsi="Lato" w:cs="Lato"/>
          <w:b/>
          <w:bCs/>
          <w:color w:val="000000" w:themeColor="text1"/>
          <w:sz w:val="20"/>
          <w:szCs w:val="20"/>
        </w:rPr>
        <w:t>DEFINITIONS</w:t>
      </w:r>
      <w:r w:rsidRPr="3D43DD34">
        <w:rPr>
          <w:rFonts w:ascii="Lato" w:eastAsia="Lato" w:hAnsi="Lato" w:cs="Lato"/>
          <w:color w:val="000000" w:themeColor="text1"/>
          <w:sz w:val="20"/>
          <w:szCs w:val="20"/>
        </w:rPr>
        <w:t>.</w:t>
      </w:r>
    </w:p>
    <w:p w14:paraId="75F27228" w14:textId="3625E4B9" w:rsidR="4188218F" w:rsidRDefault="4188218F" w:rsidP="3D43DD34">
      <w:pPr>
        <w:pStyle w:val="BodyText"/>
        <w:spacing w:before="1" w:line="276" w:lineRule="auto"/>
        <w:ind w:right="144"/>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 xml:space="preserve">“Agreement” </w:t>
      </w:r>
      <w:r w:rsidRPr="3D43DD34">
        <w:rPr>
          <w:rFonts w:ascii="Lato" w:eastAsia="Lato" w:hAnsi="Lato" w:cs="Lato"/>
          <w:color w:val="000000" w:themeColor="text1"/>
          <w:sz w:val="20"/>
          <w:szCs w:val="20"/>
        </w:rPr>
        <w:t>means, together, the MSSA, this Annex and any addenda or exhibits.</w:t>
      </w:r>
    </w:p>
    <w:p w14:paraId="19A26037" w14:textId="795673DA" w:rsidR="3D43DD34" w:rsidRDefault="3D43DD34" w:rsidP="3D43DD34">
      <w:pPr>
        <w:spacing w:before="1" w:line="276" w:lineRule="auto"/>
        <w:ind w:right="144"/>
        <w:jc w:val="both"/>
        <w:rPr>
          <w:rFonts w:ascii="Lato" w:eastAsia="Lato" w:hAnsi="Lato" w:cs="Lato"/>
          <w:color w:val="000000" w:themeColor="text1"/>
          <w:sz w:val="20"/>
          <w:szCs w:val="20"/>
        </w:rPr>
      </w:pPr>
    </w:p>
    <w:p w14:paraId="77A282F9" w14:textId="14A1840F" w:rsidR="4188218F" w:rsidRDefault="4188218F" w:rsidP="3D43DD34">
      <w:pPr>
        <w:pStyle w:val="BodyText"/>
        <w:spacing w:line="276" w:lineRule="auto"/>
        <w:ind w:right="145"/>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 xml:space="preserve">“Assigned Employee” </w:t>
      </w:r>
      <w:r w:rsidRPr="3D43DD34">
        <w:rPr>
          <w:rFonts w:ascii="Lato" w:eastAsia="Lato" w:hAnsi="Lato" w:cs="Lato"/>
          <w:color w:val="000000" w:themeColor="text1"/>
          <w:sz w:val="20"/>
          <w:szCs w:val="20"/>
        </w:rPr>
        <w:t>is an individual legally employed by PrismHR (or its partners) under its employer of record services offering.</w:t>
      </w:r>
    </w:p>
    <w:p w14:paraId="52948CBC" w14:textId="5BC12D8A" w:rsidR="3D43DD34" w:rsidRDefault="3D43DD34" w:rsidP="3D43DD34">
      <w:pPr>
        <w:spacing w:before="14" w:line="276" w:lineRule="auto"/>
        <w:jc w:val="both"/>
        <w:rPr>
          <w:rFonts w:ascii="Lato" w:eastAsia="Lato" w:hAnsi="Lato" w:cs="Lato"/>
          <w:color w:val="000000" w:themeColor="text1"/>
          <w:sz w:val="20"/>
          <w:szCs w:val="20"/>
        </w:rPr>
      </w:pPr>
    </w:p>
    <w:p w14:paraId="4424C4D4" w14:textId="0067AD25" w:rsidR="4188218F" w:rsidRDefault="4188218F" w:rsidP="3D43DD34">
      <w:pPr>
        <w:pStyle w:val="BodyText"/>
        <w:spacing w:line="276" w:lineRule="auto"/>
        <w:ind w:right="138"/>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 xml:space="preserve">“Contractor” </w:t>
      </w:r>
      <w:r w:rsidRPr="3D43DD34">
        <w:rPr>
          <w:rFonts w:ascii="Lato" w:eastAsia="Lato" w:hAnsi="Lato" w:cs="Lato"/>
          <w:color w:val="000000" w:themeColor="text1"/>
          <w:sz w:val="20"/>
          <w:szCs w:val="20"/>
        </w:rPr>
        <w:t xml:space="preserve">is a legal entity or an individual engaged to provide services under a Contractor Agreement. </w:t>
      </w:r>
    </w:p>
    <w:p w14:paraId="50B58715" w14:textId="74DB6BDE" w:rsidR="3D43DD34" w:rsidRDefault="3D43DD34" w:rsidP="3D43DD34">
      <w:pPr>
        <w:spacing w:line="276" w:lineRule="auto"/>
        <w:ind w:right="138"/>
        <w:jc w:val="both"/>
        <w:rPr>
          <w:rFonts w:ascii="Lato" w:eastAsia="Lato" w:hAnsi="Lato" w:cs="Lato"/>
          <w:color w:val="000000" w:themeColor="text1"/>
          <w:sz w:val="20"/>
          <w:szCs w:val="20"/>
        </w:rPr>
      </w:pPr>
    </w:p>
    <w:p w14:paraId="4825AC99" w14:textId="235402FA" w:rsidR="4188218F" w:rsidRDefault="4188218F" w:rsidP="3D43DD34">
      <w:pPr>
        <w:pStyle w:val="BodyText"/>
        <w:spacing w:line="276" w:lineRule="auto"/>
        <w:ind w:right="138"/>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“Contractor Agreement”</w:t>
      </w:r>
      <w:r w:rsidRPr="3D43DD34">
        <w:rPr>
          <w:rFonts w:ascii="Lato" w:eastAsia="Lato" w:hAnsi="Lato" w:cs="Lato"/>
          <w:color w:val="000000" w:themeColor="text1"/>
          <w:sz w:val="20"/>
          <w:szCs w:val="20"/>
        </w:rPr>
        <w:t xml:space="preserve"> is an executed agreement between Customer or an End Customer and a Contractor.</w:t>
      </w:r>
    </w:p>
    <w:p w14:paraId="227D9C94" w14:textId="2EC532D4" w:rsidR="3D43DD34" w:rsidRDefault="3D43DD34" w:rsidP="3D43DD34">
      <w:pPr>
        <w:spacing w:before="15" w:line="276" w:lineRule="auto"/>
        <w:jc w:val="both"/>
        <w:rPr>
          <w:rFonts w:ascii="Lato" w:eastAsia="Lato" w:hAnsi="Lato" w:cs="Lato"/>
          <w:color w:val="000000" w:themeColor="text1"/>
          <w:sz w:val="20"/>
          <w:szCs w:val="20"/>
        </w:rPr>
      </w:pPr>
    </w:p>
    <w:p w14:paraId="3275EDDD" w14:textId="46530552" w:rsidR="4188218F" w:rsidRDefault="4188218F" w:rsidP="3D43DD34">
      <w:pPr>
        <w:pStyle w:val="BodyText"/>
        <w:spacing w:line="276" w:lineRule="auto"/>
        <w:ind w:right="140"/>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 xml:space="preserve">“Contractor of Record Agreement” </w:t>
      </w:r>
      <w:r w:rsidRPr="3D43DD34">
        <w:rPr>
          <w:rFonts w:ascii="Lato" w:eastAsia="Lato" w:hAnsi="Lato" w:cs="Lato"/>
          <w:color w:val="000000" w:themeColor="text1"/>
          <w:sz w:val="20"/>
          <w:szCs w:val="20"/>
        </w:rPr>
        <w:t>is an executed agreement between PrismHR (or is affiliated entities) and Contractor on Customer or End Customer´s behalf. At times, it may also be referred to as an “AOR Agreement” or “Contractor Plus.”</w:t>
      </w:r>
    </w:p>
    <w:p w14:paraId="6CA41706" w14:textId="4951CC6C" w:rsidR="3D43DD34" w:rsidRDefault="3D43DD34" w:rsidP="3D43DD34">
      <w:pPr>
        <w:spacing w:before="9" w:line="276" w:lineRule="auto"/>
        <w:jc w:val="both"/>
        <w:rPr>
          <w:rFonts w:ascii="Lato" w:eastAsia="Lato" w:hAnsi="Lato" w:cs="Lato"/>
          <w:color w:val="000000" w:themeColor="text1"/>
          <w:sz w:val="20"/>
          <w:szCs w:val="20"/>
        </w:rPr>
      </w:pPr>
    </w:p>
    <w:p w14:paraId="4AEC8BFA" w14:textId="160F0952" w:rsidR="4188218F" w:rsidRDefault="4188218F" w:rsidP="3D43DD34">
      <w:pPr>
        <w:spacing w:line="276" w:lineRule="auto"/>
        <w:ind w:left="2" w:right="143"/>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 xml:space="preserve">“Employment Agreement” </w:t>
      </w:r>
      <w:r w:rsidRPr="3D43DD34">
        <w:rPr>
          <w:rFonts w:ascii="Lato" w:eastAsia="Lato" w:hAnsi="Lato" w:cs="Lato"/>
          <w:color w:val="000000" w:themeColor="text1"/>
          <w:sz w:val="20"/>
          <w:szCs w:val="20"/>
        </w:rPr>
        <w:t>is an executed agreement between PrismHR or its Customers or affiliates and an Assigned Employee.</w:t>
      </w:r>
    </w:p>
    <w:p w14:paraId="625A9C22" w14:textId="7BF8F73F" w:rsidR="3D43DD34" w:rsidRDefault="3D43DD34" w:rsidP="3D43DD34">
      <w:pPr>
        <w:spacing w:before="14" w:line="276" w:lineRule="auto"/>
        <w:jc w:val="both"/>
        <w:rPr>
          <w:rFonts w:ascii="Lato" w:eastAsia="Lato" w:hAnsi="Lato" w:cs="Lato"/>
          <w:color w:val="000000" w:themeColor="text1"/>
          <w:sz w:val="20"/>
          <w:szCs w:val="20"/>
        </w:rPr>
      </w:pPr>
    </w:p>
    <w:p w14:paraId="249F6574" w14:textId="4E552A3C" w:rsidR="4188218F" w:rsidRDefault="4188218F" w:rsidP="3D43DD34">
      <w:pPr>
        <w:pStyle w:val="BodyText"/>
        <w:spacing w:line="276" w:lineRule="auto"/>
        <w:ind w:right="141"/>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 xml:space="preserve">“Employment Claims” </w:t>
      </w:r>
      <w:r w:rsidRPr="3D43DD34">
        <w:rPr>
          <w:rFonts w:ascii="Lato" w:eastAsia="Lato" w:hAnsi="Lato" w:cs="Lato"/>
          <w:color w:val="000000" w:themeColor="text1"/>
          <w:sz w:val="20"/>
          <w:szCs w:val="20"/>
        </w:rPr>
        <w:t>means any claims, demands, filings, actions, allegations, lawsuits, investigations, regulatory matters, or other similar actions related to or arising out of the employment, termination, or employment agreement of an Assigned Employee.</w:t>
      </w:r>
    </w:p>
    <w:p w14:paraId="08A784B9" w14:textId="7E4ABF6E" w:rsidR="3D43DD34" w:rsidRDefault="3D43DD34" w:rsidP="3D43DD34">
      <w:pPr>
        <w:spacing w:before="16" w:line="276" w:lineRule="auto"/>
        <w:jc w:val="both"/>
        <w:rPr>
          <w:rFonts w:ascii="Lato" w:eastAsia="Lato" w:hAnsi="Lato" w:cs="Lato"/>
          <w:color w:val="000000" w:themeColor="text1"/>
          <w:sz w:val="20"/>
          <w:szCs w:val="20"/>
        </w:rPr>
      </w:pPr>
    </w:p>
    <w:p w14:paraId="54A9C34A" w14:textId="46CF82C4" w:rsidR="4188218F" w:rsidRDefault="4188218F" w:rsidP="3D43DD34">
      <w:pPr>
        <w:pStyle w:val="BodyText"/>
        <w:spacing w:line="276" w:lineRule="auto"/>
        <w:ind w:right="140"/>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 xml:space="preserve">“Employment Matters” </w:t>
      </w:r>
      <w:r w:rsidRPr="3D43DD34">
        <w:rPr>
          <w:rFonts w:ascii="Lato" w:eastAsia="Lato" w:hAnsi="Lato" w:cs="Lato"/>
          <w:color w:val="000000" w:themeColor="text1"/>
          <w:sz w:val="20"/>
          <w:szCs w:val="20"/>
        </w:rPr>
        <w:t>means all employment-related matters that, under applicable law or this Agreement, are reserved to PrismHR in its capacity as employer of record, including disciplinary actions, investigations, employee benefits administration and any compliance or other-related grievance raised by the Assigned Employee.</w:t>
      </w:r>
    </w:p>
    <w:p w14:paraId="4F25DBF2" w14:textId="217E0349" w:rsidR="3D43DD34" w:rsidRDefault="3D43DD34" w:rsidP="3D43DD34">
      <w:pPr>
        <w:spacing w:line="276" w:lineRule="auto"/>
        <w:ind w:right="140"/>
        <w:jc w:val="both"/>
        <w:rPr>
          <w:rFonts w:ascii="Lato" w:eastAsia="Lato" w:hAnsi="Lato" w:cs="Lato"/>
          <w:color w:val="000000" w:themeColor="text1"/>
          <w:sz w:val="20"/>
          <w:szCs w:val="20"/>
        </w:rPr>
      </w:pPr>
    </w:p>
    <w:p w14:paraId="75D956F8" w14:textId="033AD65F" w:rsidR="4188218F" w:rsidRDefault="4188218F" w:rsidP="3D43DD34">
      <w:pPr>
        <w:pStyle w:val="BodyText"/>
        <w:spacing w:line="276" w:lineRule="auto"/>
        <w:ind w:right="140"/>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“End Customer”</w:t>
      </w:r>
      <w:r w:rsidRPr="3D43DD34">
        <w:rPr>
          <w:rFonts w:ascii="Lato" w:eastAsia="Lato" w:hAnsi="Lato" w:cs="Lato"/>
          <w:color w:val="000000" w:themeColor="text1"/>
          <w:sz w:val="20"/>
          <w:szCs w:val="20"/>
        </w:rPr>
        <w:t xml:space="preserve"> means any customer, client, or other third party (including affiliates) for whom Customer requests or receives the Services under this Agreement. PrismHR shall have no commercial agreement with the End Customers. </w:t>
      </w:r>
    </w:p>
    <w:p w14:paraId="1ADABA94" w14:textId="689E5B26" w:rsidR="3D43DD34" w:rsidRDefault="3D43DD34" w:rsidP="3D43DD34">
      <w:pPr>
        <w:spacing w:line="276" w:lineRule="auto"/>
        <w:ind w:right="140"/>
        <w:jc w:val="both"/>
        <w:rPr>
          <w:rFonts w:ascii="Lato" w:eastAsia="Lato" w:hAnsi="Lato" w:cs="Lato"/>
          <w:color w:val="000000" w:themeColor="text1"/>
          <w:sz w:val="20"/>
          <w:szCs w:val="20"/>
        </w:rPr>
      </w:pPr>
    </w:p>
    <w:p w14:paraId="6834656E" w14:textId="17BFA1BD" w:rsidR="4188218F" w:rsidRDefault="4188218F" w:rsidP="3D43DD34">
      <w:pPr>
        <w:pStyle w:val="BodyText"/>
        <w:spacing w:line="276" w:lineRule="auto"/>
        <w:ind w:right="140"/>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“Pass-Through Costs”</w:t>
      </w:r>
      <w:r w:rsidRPr="3D43DD34">
        <w:rPr>
          <w:rFonts w:ascii="Lato" w:eastAsia="Lato" w:hAnsi="Lato" w:cs="Lato"/>
          <w:color w:val="000000" w:themeColor="text1"/>
          <w:sz w:val="20"/>
          <w:szCs w:val="20"/>
        </w:rPr>
        <w:t xml:space="preserve"> means all amounts payable by PrismHR or its affiliates, in-country Customers, or service providers in connection with the Services that are passed through to the Customer, including, without limitation: (i) wages, salaries, bonuses, commissions, overtime, vacation pay, holiday pay and other compensation; (ii) employment-related taxes, social security contributions, statutory benefits, insurance premiums, pension contributions and any other employment-related costs; (iii) contractor fees and approved expenses; (iv) government fees, registrations, and filings; and (v) foreign exchange costs.</w:t>
      </w:r>
    </w:p>
    <w:p w14:paraId="0EB6F3D9" w14:textId="608D74AC" w:rsidR="3D43DD34" w:rsidRDefault="3D43DD34" w:rsidP="3D43DD34">
      <w:pPr>
        <w:spacing w:line="276" w:lineRule="auto"/>
        <w:ind w:right="140"/>
        <w:jc w:val="both"/>
        <w:rPr>
          <w:rFonts w:ascii="Lato" w:eastAsia="Lato" w:hAnsi="Lato" w:cs="Lato"/>
          <w:color w:val="000000" w:themeColor="text1"/>
          <w:sz w:val="20"/>
          <w:szCs w:val="20"/>
        </w:rPr>
      </w:pPr>
    </w:p>
    <w:p w14:paraId="40F1929F" w14:textId="3ABF756B" w:rsidR="4188218F" w:rsidRDefault="4188218F" w:rsidP="3D43DD34">
      <w:pPr>
        <w:pStyle w:val="BodyText"/>
        <w:spacing w:line="276" w:lineRule="auto"/>
        <w:ind w:right="143"/>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 xml:space="preserve">“Platform” </w:t>
      </w:r>
      <w:r w:rsidRPr="3D43DD34">
        <w:rPr>
          <w:rFonts w:ascii="Lato" w:eastAsia="Lato" w:hAnsi="Lato" w:cs="Lato"/>
          <w:color w:val="000000" w:themeColor="text1"/>
          <w:sz w:val="20"/>
          <w:szCs w:val="20"/>
        </w:rPr>
        <w:t>means PrismHR´s proprietary software platform through which it provides Services.</w:t>
      </w:r>
    </w:p>
    <w:p w14:paraId="2C95BB63" w14:textId="4A71BD56" w:rsidR="3D43DD34" w:rsidRDefault="3D43DD34" w:rsidP="3D43DD34">
      <w:pPr>
        <w:spacing w:before="14" w:line="276" w:lineRule="auto"/>
        <w:jc w:val="both"/>
        <w:rPr>
          <w:rFonts w:ascii="Lato" w:eastAsia="Lato" w:hAnsi="Lato" w:cs="Lato"/>
          <w:color w:val="000000" w:themeColor="text1"/>
          <w:sz w:val="20"/>
          <w:szCs w:val="20"/>
        </w:rPr>
      </w:pPr>
    </w:p>
    <w:p w14:paraId="0EDDAF13" w14:textId="6624FE16" w:rsidR="4188218F" w:rsidRDefault="4188218F" w:rsidP="3D43DD34">
      <w:pPr>
        <w:pStyle w:val="BodyText"/>
        <w:spacing w:line="276" w:lineRule="auto"/>
        <w:ind w:right="141"/>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 xml:space="preserve">“Services” or “Global Services” </w:t>
      </w:r>
      <w:r w:rsidRPr="3D43DD34">
        <w:rPr>
          <w:rFonts w:ascii="Lato" w:eastAsia="Lato" w:hAnsi="Lato" w:cs="Lato"/>
          <w:color w:val="000000" w:themeColor="text1"/>
          <w:sz w:val="20"/>
          <w:szCs w:val="20"/>
        </w:rPr>
        <w:t>means employer of record, contractor management, contractor of record, global payroll, or any other service provided by PrismHR to Customer, whether through the Platform or otherwise. “Services” does not include the Assigned Employee's or Contractor’s work directly for Customer or the End Customer.</w:t>
      </w:r>
    </w:p>
    <w:p w14:paraId="17F95839" w14:textId="218BB327" w:rsidR="3D43DD34" w:rsidRDefault="3D43DD34" w:rsidP="3D43DD34">
      <w:pPr>
        <w:spacing w:line="276" w:lineRule="auto"/>
        <w:ind w:right="141"/>
        <w:jc w:val="both"/>
        <w:rPr>
          <w:rFonts w:ascii="Lato" w:eastAsia="Lato" w:hAnsi="Lato" w:cs="Lato"/>
          <w:color w:val="000000" w:themeColor="text1"/>
          <w:sz w:val="20"/>
          <w:szCs w:val="20"/>
        </w:rPr>
      </w:pPr>
    </w:p>
    <w:p w14:paraId="2767483A" w14:textId="7AFDE33A" w:rsidR="4188218F" w:rsidRDefault="4188218F" w:rsidP="3D43DD34">
      <w:pPr>
        <w:pStyle w:val="BodyText"/>
        <w:spacing w:line="276" w:lineRule="auto"/>
        <w:ind w:right="141"/>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“Service Fees”</w:t>
      </w:r>
      <w:r w:rsidRPr="3D43DD34">
        <w:rPr>
          <w:rFonts w:ascii="Lato" w:eastAsia="Lato" w:hAnsi="Lato" w:cs="Lato"/>
          <w:color w:val="000000" w:themeColor="text1"/>
          <w:sz w:val="20"/>
          <w:szCs w:val="20"/>
        </w:rPr>
        <w:t xml:space="preserve"> means the fees, charges, or other amounts payable to PrismHR for the performance of the Services, as set forth in this Agreement, the applicable Statement of Work, or any other written agreement between the parties. </w:t>
      </w:r>
    </w:p>
    <w:p w14:paraId="6D9F23B6" w14:textId="22FE81A1" w:rsidR="3D43DD34" w:rsidRDefault="3D43DD34" w:rsidP="3D43DD34">
      <w:pPr>
        <w:spacing w:before="18" w:line="276" w:lineRule="auto"/>
        <w:jc w:val="both"/>
        <w:rPr>
          <w:rFonts w:ascii="Lato" w:eastAsia="Lato" w:hAnsi="Lato" w:cs="Lato"/>
          <w:color w:val="000000" w:themeColor="text1"/>
          <w:sz w:val="20"/>
          <w:szCs w:val="20"/>
        </w:rPr>
      </w:pPr>
    </w:p>
    <w:p w14:paraId="4F754B57" w14:textId="56E8C728" w:rsidR="4188218F" w:rsidRDefault="4188218F" w:rsidP="3D43DD34">
      <w:pPr>
        <w:pStyle w:val="BodyText"/>
        <w:spacing w:line="276" w:lineRule="auto"/>
        <w:ind w:right="144"/>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 xml:space="preserve">“Statement of Work” </w:t>
      </w:r>
      <w:r w:rsidRPr="3D43DD34">
        <w:rPr>
          <w:rFonts w:ascii="Lato" w:eastAsia="Lato" w:hAnsi="Lato" w:cs="Lato"/>
          <w:color w:val="000000" w:themeColor="text1"/>
          <w:sz w:val="20"/>
          <w:szCs w:val="20"/>
        </w:rPr>
        <w:t>is a statement of work between PrismHR and Customer which defines and outlines the Services PrismHR will provide, along with the applicable fees and costs payable by the Customer. It may also be referred to as “SOW.”</w:t>
      </w:r>
    </w:p>
    <w:p w14:paraId="0D2F6501" w14:textId="20E8DBE7" w:rsidR="3D43DD34" w:rsidRDefault="3D43DD34" w:rsidP="3D43DD34">
      <w:pPr>
        <w:spacing w:before="14" w:line="276" w:lineRule="auto"/>
        <w:rPr>
          <w:rFonts w:ascii="Lato" w:eastAsia="Lato" w:hAnsi="Lato" w:cs="Lato"/>
          <w:color w:val="000000" w:themeColor="text1"/>
          <w:sz w:val="20"/>
          <w:szCs w:val="20"/>
        </w:rPr>
      </w:pPr>
    </w:p>
    <w:p w14:paraId="394395CD" w14:textId="0EF4B6C7" w:rsidR="4188218F" w:rsidRDefault="4188218F" w:rsidP="3D43DD34">
      <w:pPr>
        <w:pStyle w:val="BodyText"/>
        <w:spacing w:line="276" w:lineRule="auto"/>
        <w:ind w:right="138"/>
        <w:rPr>
          <w:rFonts w:ascii="Lato" w:eastAsia="Lato" w:hAnsi="Lato" w:cs="Lato"/>
          <w:color w:val="000000" w:themeColor="text1"/>
          <w:sz w:val="20"/>
          <w:szCs w:val="20"/>
        </w:rPr>
      </w:pPr>
      <w:r w:rsidRPr="3D43DD34">
        <w:rPr>
          <w:rFonts w:ascii="Lato" w:eastAsia="Lato" w:hAnsi="Lato" w:cs="Lato"/>
          <w:b/>
          <w:bCs/>
          <w:color w:val="000000" w:themeColor="text1"/>
          <w:sz w:val="20"/>
          <w:szCs w:val="20"/>
        </w:rPr>
        <w:t xml:space="preserve">“Transition Costs” </w:t>
      </w:r>
      <w:r w:rsidRPr="3D43DD34">
        <w:rPr>
          <w:rFonts w:ascii="Lato" w:eastAsia="Lato" w:hAnsi="Lato" w:cs="Lato"/>
          <w:color w:val="000000" w:themeColor="text1"/>
          <w:sz w:val="20"/>
          <w:szCs w:val="20"/>
        </w:rPr>
        <w:t>are all costs, liabilities and expenses incurred by PrismHR and payable by Customer to PrismHR in connection to an Assigned Employee is terminated or ceases to provide services, including statutory or contractual notice, severance, accrued compensation and benefits, unused leave, compensation for non-compete or other post-termination restrictions, legal fees, government charges, administrative expenses and any other amounts payable as a result if or in connection with the separation, including any amounts awarded to the Assigned Employee by a third party authority, or related to the defense, settlement, or compromise of any Employment Claims.</w:t>
      </w:r>
    </w:p>
    <w:p w14:paraId="53B43C52" w14:textId="4355443C" w:rsidR="3D43DD34" w:rsidRDefault="3D43DD34" w:rsidP="3D43DD34">
      <w:pPr>
        <w:spacing w:before="19" w:line="276" w:lineRule="auto"/>
        <w:rPr>
          <w:rFonts w:ascii="Lato" w:eastAsia="Lato" w:hAnsi="Lato" w:cs="Lato"/>
          <w:color w:val="000000" w:themeColor="text1"/>
          <w:sz w:val="20"/>
          <w:szCs w:val="20"/>
        </w:rPr>
      </w:pPr>
    </w:p>
    <w:p w14:paraId="5DC321DA" w14:textId="325F13B3" w:rsidR="4188218F" w:rsidRDefault="4188218F" w:rsidP="3D43DD34">
      <w:pPr>
        <w:pStyle w:val="BodyText"/>
        <w:spacing w:line="276" w:lineRule="auto"/>
        <w:ind w:right="143"/>
        <w:rPr>
          <w:rFonts w:ascii="Lato" w:eastAsia="Lato" w:hAnsi="Lato" w:cs="Lato"/>
          <w:color w:val="000000" w:themeColor="text1"/>
          <w:sz w:val="20"/>
          <w:szCs w:val="20"/>
        </w:rPr>
      </w:pPr>
      <w:r w:rsidRPr="3D43DD34">
        <w:rPr>
          <w:rFonts w:ascii="Lato" w:eastAsia="Lato" w:hAnsi="Lato" w:cs="Lato"/>
          <w:b/>
          <w:bCs/>
          <w:color w:val="000000" w:themeColor="text1"/>
          <w:sz w:val="20"/>
          <w:szCs w:val="20"/>
        </w:rPr>
        <w:t xml:space="preserve">“Offboarding Fees” </w:t>
      </w:r>
      <w:r w:rsidRPr="3D43DD34">
        <w:rPr>
          <w:rFonts w:ascii="Lato" w:eastAsia="Lato" w:hAnsi="Lato" w:cs="Lato"/>
          <w:color w:val="000000" w:themeColor="text1"/>
          <w:sz w:val="20"/>
          <w:szCs w:val="20"/>
        </w:rPr>
        <w:t>are PrismHR´s fees associated with transitioning and/or terminating an Assigned Employee, as defined in this Agreement or as agreed in an applicable Statement of Work.</w:t>
      </w:r>
    </w:p>
    <w:p w14:paraId="2103A26D" w14:textId="45B55DB2" w:rsidR="3D43DD34" w:rsidRDefault="3D43DD34" w:rsidP="3D43DD34">
      <w:pPr>
        <w:spacing w:line="276" w:lineRule="auto"/>
        <w:ind w:right="143"/>
        <w:rPr>
          <w:rFonts w:ascii="Lato" w:eastAsia="Lato" w:hAnsi="Lato" w:cs="Lato"/>
          <w:color w:val="000000" w:themeColor="text1"/>
          <w:sz w:val="22"/>
          <w:szCs w:val="22"/>
        </w:rPr>
      </w:pPr>
    </w:p>
    <w:p w14:paraId="7A775EA5" w14:textId="6B1C4A95"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2) RESALE TO END CUSTOMERS.</w:t>
      </w:r>
    </w:p>
    <w:p w14:paraId="325A0C47" w14:textId="7C8DECC7"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PrismHR shall provide the Global Services to Customer. Customer may resell and provide the Global Services to its End Customers in accordance with this Annex. </w:t>
      </w:r>
    </w:p>
    <w:p w14:paraId="4A7A9B85" w14:textId="5B6BE2A4"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lastRenderedPageBreak/>
        <w:t>Accordingly, PrismHR agrees to provide the Services to Customer pursuant to the terms of this Agreement and the applicable SOW. The Services may be provided for the benefit of one or more End Customers designated by Customer; provided, however, that PrismHR enters into this Agreement solely with Customer. No End Customer shall be deemed a party to this Agreement and PrismHR shall have no contractual relationship with any End Customer and Customer is the sole party that contracts with invoices, and collects from End Customers.</w:t>
      </w:r>
    </w:p>
    <w:p w14:paraId="385C7542" w14:textId="7AF71942"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Customer shall remain solely responsible to PrismHR for the performance of all obligations under this Agreement, whether such obligations are performed by Customer directly or by an End Customer. Customer shall ensure that each End Customer complies with all operational, workplace, health and safety, compliance, cooperation and other obligations applicable to the Services, and shall incorporate into its agreement(s) with each End Customer contractual provisions substantially consistent with such obligations to the extent reasonably necessary to enable Customer to comply with this Agreement.</w:t>
      </w:r>
    </w:p>
    <w:p w14:paraId="4BBEA231" w14:textId="22EEE01C"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Customer acknowledges and agrees that any act, omission, breach, negligence, or failure of an End Customer shall be deemed the act, omission, breach, negligence, or failure of Customer for purposes of this Agreement. Accordingly, Customer remains fully liable for the performance of all obligations under this Agreement, regardless of whether any responsibility has been delegated to, or is expected to be performed by, an End Customer.</w:t>
      </w:r>
    </w:p>
    <w:p w14:paraId="1CEE8E7D" w14:textId="48643200"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Customer’s obligations under this Agreement, including payment of all Service Fees, Pass-Through Costs, Transition Costs, Offboarding Fees, and any other amounts payable hereunder, are absolute and independent and shall not be conditioned upon, reduced by, delayed due to, or otherwise affected by any dispute with, or failure of payment or performance by, an End Customer.</w:t>
      </w:r>
    </w:p>
    <w:p w14:paraId="732E003E" w14:textId="15DE173B"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The pricing in the Pricing Schedule is wholesale pricing payable by Customer to PrismHR. Customer is free to determine, in its sole discretion, the prices it charges its End Customers, including any markup over the wholesale pricing. The economic terms of Customer’s arrangements with End Customers are solely Customer’s responsibility and do not affect Customer’s obligations to PrismHR.</w:t>
      </w:r>
    </w:p>
    <w:p w14:paraId="10DD863A" w14:textId="7FEAEEC0"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3) GLOBAL SERVICES.</w:t>
      </w:r>
    </w:p>
    <w:p w14:paraId="230A6C73" w14:textId="49C47BDE"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Subject to the terms and conditions of this Agreement, PrismHR may provide to Customer one or more of the following services, as outlined in the applicable SOW(s). The Services consist solely of the administrative services that PrismHR agrees to provide under this Agreement and do not include the direct work or services performed by any Assigned Employee or Contractor. The service-specific sections of this Agreement shall apply to the extent that the Services are selected by Customer. For example, if PrismHR is only providing EOR services, the terms addressing Contractor services will not be applicable to Customer. </w:t>
      </w:r>
    </w:p>
    <w:p w14:paraId="65C9B2CA" w14:textId="07051D94"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Subject to this Annex and the MSSA, PrismHR may provide to Customer one or more of the following Global Services, as set forth in an applicable Service Order: (a) Employer of Record; (b) Contractor Management and Contractor of Record; and (c) Additional Services. </w:t>
      </w:r>
    </w:p>
    <w:p w14:paraId="1E34BC44" w14:textId="47638999"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a) Employer of Record.</w:t>
      </w:r>
    </w:p>
    <w:p w14:paraId="39E9D45A" w14:textId="0DD5F3E4" w:rsidR="4188218F" w:rsidRDefault="4188218F" w:rsidP="3D43DD34">
      <w:pPr>
        <w:spacing w:after="140" w:line="264" w:lineRule="auto"/>
        <w:ind w:left="2"/>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(i) </w:t>
      </w:r>
      <w:r w:rsidRPr="3D43DD34">
        <w:rPr>
          <w:rFonts w:ascii="Lato" w:eastAsia="Lato" w:hAnsi="Lato" w:cs="Lato"/>
          <w:color w:val="000000" w:themeColor="text1"/>
          <w:sz w:val="20"/>
          <w:szCs w:val="20"/>
          <w:u w:val="single"/>
        </w:rPr>
        <w:t>Legal Employer</w:t>
      </w:r>
      <w:r w:rsidRPr="3D43DD34">
        <w:rPr>
          <w:rFonts w:ascii="Lato" w:eastAsia="Lato" w:hAnsi="Lato" w:cs="Lato"/>
          <w:color w:val="000000" w:themeColor="text1"/>
          <w:sz w:val="20"/>
          <w:szCs w:val="20"/>
        </w:rPr>
        <w:t>. PrismHR shall employ the Assigned Employees, either directly or through its affiliates or authorized in-country service providers, for the purpose of assigning them to perform services for Customer or its End Customer in accordance with this Agreement and the applicable Statement of Work.</w:t>
      </w:r>
    </w:p>
    <w:p w14:paraId="4D23AE83" w14:textId="00E4F138"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PrismHR shall remain the sole legal employer of the Assigned Employees and shall retain exclusive authority over all matters reserved to PrismHR as employer under applicable law, including Employer Matters. Nothing in this Agreement shall be construed as creating an employment relationship between any Assigned Employee and Customer or any End Customer.</w:t>
      </w:r>
    </w:p>
    <w:p w14:paraId="64FDD237" w14:textId="5647382F"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Customer (or its End Customers) shall be solely responsible for identifying, recruiting, interviewing, evaluating, selecting and approving all Assigned Employees. Customer, and where applicable its End Customer, shall retain </w:t>
      </w:r>
      <w:r w:rsidRPr="3D43DD34">
        <w:rPr>
          <w:rFonts w:ascii="Lato" w:eastAsia="Lato" w:hAnsi="Lato" w:cs="Lato"/>
          <w:color w:val="000000" w:themeColor="text1"/>
          <w:sz w:val="20"/>
          <w:szCs w:val="20"/>
        </w:rPr>
        <w:lastRenderedPageBreak/>
        <w:t>exclusive responsibility for directing and supervising the day-to-day work of Assigned Employees, establishing performance expectations, assigning duties, providing operational training, ensuring the suitability of the work environment, and determining whether an Assigned Employee’s services continue to meet its business requirements, all in accordance with applicable law.</w:t>
      </w:r>
    </w:p>
    <w:p w14:paraId="61612631" w14:textId="705E484C"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Customer shall promptly notify PrismHR of any matter that may affect an Assigned Employee’s employment, including any request to hire, onboard, transfer, change compensation, modify duties, reduce working hours, place on leave, suspend, discipline, or terminate an Assigned Employee. PrismHR shall determine the appropriate employment action and timing necessary to comply with applicable law and reserves the right to decline or delay any requested action where reasonably necessary to ensure legal or regulatory compliance or to protect PrismHR from legal, regulatory or operational risk.</w:t>
      </w:r>
    </w:p>
    <w:p w14:paraId="18780738" w14:textId="78EC89D7"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Under no circumstances may Customer or any End Customer terminate, suspend, discipline, or otherwise take any employment action directly with respect to an Assigned Employee unless expressly authorized in writing by PrismHR or required by applicable law. Customer shall ensure that its End Customer complies with this requirement.</w:t>
      </w:r>
    </w:p>
    <w:p w14:paraId="29B9101E" w14:textId="14D62B32"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PrismHR reserves the right, at any time, to refuse to employ, continue employing, or to suspend or discontinue the Employer of Record Services with respect to any Assigned Employee, where PrismHR reasonably determines that doing so is necessary to comply with applicable law, satisfy regulatory requirements, protect the health or safety of any individual, mitigate legal or commercial risk, or otherwise protect PrismHR’s legitimate business interests.</w:t>
      </w:r>
    </w:p>
    <w:p w14:paraId="6974DBBE" w14:textId="283772E5" w:rsidR="4188218F" w:rsidRDefault="4188218F" w:rsidP="3D43DD34">
      <w:pPr>
        <w:spacing w:after="140" w:line="264" w:lineRule="auto"/>
        <w:ind w:left="2"/>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(ii) </w:t>
      </w:r>
      <w:r w:rsidRPr="3D43DD34">
        <w:rPr>
          <w:rFonts w:ascii="Lato" w:eastAsia="Lato" w:hAnsi="Lato" w:cs="Lato"/>
          <w:color w:val="000000" w:themeColor="text1"/>
          <w:sz w:val="20"/>
          <w:szCs w:val="20"/>
          <w:u w:val="single"/>
        </w:rPr>
        <w:t>Worksite Safety</w:t>
      </w:r>
      <w:r w:rsidRPr="3D43DD34">
        <w:rPr>
          <w:rFonts w:ascii="Lato" w:eastAsia="Lato" w:hAnsi="Lato" w:cs="Lato"/>
          <w:color w:val="000000" w:themeColor="text1"/>
          <w:sz w:val="20"/>
          <w:szCs w:val="20"/>
        </w:rPr>
        <w:t>.</w:t>
      </w:r>
      <w:r w:rsidRPr="3D43DD34">
        <w:rPr>
          <w:rFonts w:ascii="Lato" w:eastAsia="Lato" w:hAnsi="Lato" w:cs="Lato"/>
          <w:b/>
          <w:bCs/>
          <w:color w:val="000000" w:themeColor="text1"/>
          <w:sz w:val="20"/>
          <w:szCs w:val="20"/>
        </w:rPr>
        <w:t xml:space="preserve"> </w:t>
      </w:r>
      <w:r w:rsidRPr="3D43DD34">
        <w:rPr>
          <w:rFonts w:ascii="Lato" w:eastAsia="Lato" w:hAnsi="Lato" w:cs="Lato"/>
          <w:color w:val="000000" w:themeColor="text1"/>
          <w:sz w:val="20"/>
          <w:szCs w:val="20"/>
        </w:rPr>
        <w:t xml:space="preserve">Unless otherwise agreed in writing, Assigned Employees shall perform their services remotely. Customer shall notify PrismHR in advance if an Assigned Employee is expected to perform services at any physical worksite or if the nature of the services materially changes. </w:t>
      </w:r>
    </w:p>
    <w:p w14:paraId="687CABDF" w14:textId="52F77F2A"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Customer shall ensure that each worksite at which an Assigned Employee performs services complies with all applicable health and safety, occupational health, workplace security, and other applicable legal requirements. Customer shall ensure that its agreements with its End Customers require compliance with such obligations and shall remain fully responsible to PrismHR for any failure by an End Customer to do so.</w:t>
      </w:r>
    </w:p>
    <w:p w14:paraId="6E2C8D26" w14:textId="4BBEBE82"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Customer shall promptly notify PrismHR of any workplace accident, injury, illness, unsafe condition, governmental inspection, or other event affecting the health, safety, or wellbeing of an Assigned Employee or that could reasonably give rise to an Employment Claim or other liability relating to the Assigned Employee’s working conditions.</w:t>
      </w:r>
    </w:p>
    <w:p w14:paraId="27E86F41" w14:textId="4C482EC4"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PrismHR, and where applicable its insurers, affiliates, or service providers, may request information regarding any worksite or working conditions and may require Customer to implement reasonable corrective measures, provide additional insurance, or satisfy other reasonable compliance requirements as a condition of providing or continuing the Employer of Record Services. PrismHR may suspend or discontinue the Services with respect to any Assigned Employee if Customer fails to satisfy such requirements or if PrismHR reasonably determines that the worksite or working conditions present an unacceptable legal, regulatory, or safety risk.</w:t>
      </w:r>
    </w:p>
    <w:p w14:paraId="49BE249E" w14:textId="323FA842"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If an Assigned Employee will handle cash, negotiable instruments, confidential assets, hazardous materials, controlled substances, firearms, valuable property, operate motor vehicles, heavy machinery, or other equipment involving elevated risk, or perform any other activities that materially increase legal, insurance, or operational risk, Customer shall disclose such activities to PrismHR before the engagement begins or immediately upon any change. PrismHR may require additional insurance, documentation, contractual protections, training, or other reasonable conditions before permitting such activities.</w:t>
      </w:r>
    </w:p>
    <w:p w14:paraId="047767C6" w14:textId="460F628A" w:rsidR="4188218F" w:rsidRDefault="4188218F" w:rsidP="3D43DD34">
      <w:pPr>
        <w:spacing w:after="140" w:line="264" w:lineRule="auto"/>
        <w:ind w:left="2"/>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(iii) </w:t>
      </w:r>
      <w:r w:rsidRPr="3D43DD34">
        <w:rPr>
          <w:rFonts w:ascii="Lato" w:eastAsia="Lato" w:hAnsi="Lato" w:cs="Lato"/>
          <w:color w:val="000000" w:themeColor="text1"/>
          <w:sz w:val="20"/>
          <w:szCs w:val="20"/>
          <w:u w:val="single"/>
        </w:rPr>
        <w:t>Payroll information and funding</w:t>
      </w:r>
      <w:r w:rsidRPr="3D43DD34">
        <w:rPr>
          <w:rFonts w:ascii="Lato" w:eastAsia="Lato" w:hAnsi="Lato" w:cs="Lato"/>
          <w:color w:val="000000" w:themeColor="text1"/>
          <w:sz w:val="20"/>
          <w:szCs w:val="20"/>
        </w:rPr>
        <w:t>.</w:t>
      </w:r>
      <w:r w:rsidRPr="3D43DD34">
        <w:rPr>
          <w:rFonts w:ascii="Lato" w:eastAsia="Lato" w:hAnsi="Lato" w:cs="Lato"/>
          <w:b/>
          <w:bCs/>
          <w:color w:val="000000" w:themeColor="text1"/>
          <w:sz w:val="20"/>
          <w:szCs w:val="20"/>
        </w:rPr>
        <w:t xml:space="preserve"> </w:t>
      </w:r>
      <w:r w:rsidRPr="3D43DD34">
        <w:rPr>
          <w:rFonts w:ascii="Lato" w:eastAsia="Lato" w:hAnsi="Lato" w:cs="Lato"/>
          <w:color w:val="000000" w:themeColor="text1"/>
          <w:sz w:val="20"/>
          <w:szCs w:val="20"/>
        </w:rPr>
        <w:t>Customer shall timely provide, or cause its End Customer to timely provide, all information, instructions, approvals, and cooperation reasonably required for PrismHR to perform the Employer of Record Services, including payroll processing, employment administration, benefits administration, tax reporting, and compliance with applicable law.</w:t>
      </w:r>
    </w:p>
    <w:p w14:paraId="5EB6D4B5" w14:textId="0537B039"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lastRenderedPageBreak/>
        <w:t>Without limitation, Customer shall ensure that all payroll-related information, including hours worked, compensation, bonuses, commissions, allowances, reimbursements, deductions, leave, absences, compensation changes, and any other payroll inputs, are complete, accurate, and submitted by the applicable cutoff dates communicated by PrismHR.</w:t>
      </w:r>
    </w:p>
    <w:p w14:paraId="47371147" w14:textId="1821F337"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PrismHR shall be entitled to rely upon all information, instructions, approvals, and authorizations provided by or on behalf of Customer or an End Customer without independent verification. Customer shall remain solely responsible for the completeness, accuracy, legality, and timeliness of all such information and instructions.</w:t>
      </w:r>
    </w:p>
    <w:p w14:paraId="606BE7E7" w14:textId="7F88F23D"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Customer acknowledges that timely funding is an essential condition of the Employer of Record Services. Customer shall timely pay all amounts due under this Agreement in accordance with the applicable payment terms. Customer’s payment obligations are absolute and shall not be conditioned upon receipt of payment from, or the performance of, any End Customer. PrismHR shall have no obligation to process payroll, remit taxes or statutory contributions, fund benefits, make payments to Assigned Employees, or perform any other payment-related employment obligation until PrismHR has received cleared funds for all applicable amounts due and it shall not be responsible for any delay, error, penalty, interest, Employment Claim, governmental assessment, or other liability arising from or relating to Customer’s failure to timely fund any amounts due under this Agreement. Any resulting costs, liabilities, penalties, interest, Pass-Through Costs, or additional Service Fees incurred by PrismHR shall be the sole responsibility of Customer.</w:t>
      </w:r>
    </w:p>
    <w:p w14:paraId="7F6FD265" w14:textId="1E908B8F"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Customer shall promptly notify PrismHR of any information or circumstance that may affect payroll processing, employment administration, tax withholding, statutory benefits, or any other Employer of Record Service. PrismHR may reasonably request additional information or documentation as necessary to comply with applicable law or perform the Services, and Customer shall promptly provide such information.</w:t>
      </w:r>
    </w:p>
    <w:p w14:paraId="5A60AD82" w14:textId="42C2A1B2"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(iv) </w:t>
      </w:r>
      <w:r w:rsidRPr="3D43DD34">
        <w:rPr>
          <w:rFonts w:ascii="Lato" w:eastAsia="Lato" w:hAnsi="Lato" w:cs="Lato"/>
          <w:color w:val="000000" w:themeColor="text1"/>
          <w:sz w:val="20"/>
          <w:szCs w:val="20"/>
          <w:u w:val="single"/>
        </w:rPr>
        <w:t>Assigned Employees</w:t>
      </w:r>
      <w:r w:rsidRPr="3D43DD34">
        <w:rPr>
          <w:rFonts w:ascii="Lato" w:eastAsia="Lato" w:hAnsi="Lato" w:cs="Lato"/>
          <w:color w:val="000000" w:themeColor="text1"/>
          <w:sz w:val="20"/>
          <w:szCs w:val="20"/>
        </w:rPr>
        <w:t>.</w:t>
      </w:r>
      <w:r w:rsidRPr="3D43DD34">
        <w:rPr>
          <w:rFonts w:ascii="Lato" w:eastAsia="Lato" w:hAnsi="Lato" w:cs="Lato"/>
          <w:b/>
          <w:bCs/>
          <w:color w:val="000000" w:themeColor="text1"/>
          <w:sz w:val="20"/>
          <w:szCs w:val="20"/>
        </w:rPr>
        <w:t xml:space="preserve"> </w:t>
      </w:r>
      <w:r w:rsidRPr="3D43DD34">
        <w:rPr>
          <w:rFonts w:ascii="Lato" w:eastAsia="Lato" w:hAnsi="Lato" w:cs="Lato"/>
          <w:color w:val="000000" w:themeColor="text1"/>
          <w:sz w:val="20"/>
          <w:szCs w:val="20"/>
        </w:rPr>
        <w:t>Customer shall promptly notify PrismHR of any matter affecting an Assigned Employee’s employment or assignment, including any complaint, grievance, disciplinary issue, misconduct, performance concern, workplace incident, leave request, accommodation request, governmental inquiry, or any circumstance that may reasonably result in an Employment Claim or require action by PrismHR as the legal employer.</w:t>
      </w:r>
    </w:p>
    <w:p w14:paraId="41690186" w14:textId="038A8483"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The Parties shall cooperate in good faith to address employment-related matters affecting Assigned Employees. Customer shall promptly provide all information, documentation, witness statements, evidence, and other assistance reasonably requested by PrismHR in connection with any Employment Claim, governmental investigation, audit, disciplinary process, accommodation request, workplace incident, or other matter relating to an Assigned Employee’s employment or assignment.</w:t>
      </w:r>
    </w:p>
    <w:p w14:paraId="58A87623" w14:textId="3C96871C"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If an Assigned Employee previously provided services to Customer or an End Customer before becoming employed by PrismHR, Customer shall disclose such information before onboarding. Customer shall remain solely responsible for all wages, benefits, liabilities, Employment Claims, taxes, penalties, and other obligations arising from or relating to the period preceding PrismHR’s commencement as employer of record. Nothing in this Agreement shall be construed as transferring or assuming any liability arising before PrismHR became the legal employer, unless expressly agreed in writing.</w:t>
      </w:r>
    </w:p>
    <w:p w14:paraId="7367F015" w14:textId="6F3DBBBB"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(v) </w:t>
      </w:r>
      <w:r w:rsidRPr="3D43DD34">
        <w:rPr>
          <w:rFonts w:ascii="Lato" w:eastAsia="Lato" w:hAnsi="Lato" w:cs="Lato"/>
          <w:color w:val="000000" w:themeColor="text1"/>
          <w:sz w:val="20"/>
          <w:szCs w:val="20"/>
          <w:u w:val="single"/>
        </w:rPr>
        <w:t>Intellectual property</w:t>
      </w:r>
      <w:r w:rsidRPr="3D43DD34">
        <w:rPr>
          <w:rFonts w:ascii="Lato" w:eastAsia="Lato" w:hAnsi="Lato" w:cs="Lato"/>
          <w:color w:val="000000" w:themeColor="text1"/>
          <w:sz w:val="20"/>
          <w:szCs w:val="20"/>
        </w:rPr>
        <w:t xml:space="preserve">.  The Parties acknowledge and agree that, to the fullest extent permitted by applicable law, any inventions, discoveries, developments, works of authorship, software, documentation, data, designs, processes, know-how, or other work product created, conceived, developed, or reduced to practice by an Assigned Employee in connection with the services performed for Customer or an End Customer (collectively, the “Work Product”) are intended to vest directly in Customer or the applicable End Customer, as applicable. To the extent any right, title, or interest in the Work Product does not automatically vest in Customer or the applicable End Customer under applicable law, PrismHR hereby irrevocably assigns, and agrees to assign, to Customer or the applicable End Customer, as designated by Customer, all right, title, and interest that PrismHR may acquire in or to such Work Product, without additional consideration other than the fees payable under this Agreement. </w:t>
      </w:r>
    </w:p>
    <w:p w14:paraId="533ED24E" w14:textId="1C7BFD96"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lastRenderedPageBreak/>
        <w:t xml:space="preserve">b) Contractor. </w:t>
      </w:r>
    </w:p>
    <w:p w14:paraId="549183DE" w14:textId="6CF1DF40"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(i) </w:t>
      </w:r>
      <w:r w:rsidRPr="3D43DD34">
        <w:rPr>
          <w:rFonts w:ascii="Lato" w:eastAsia="Lato" w:hAnsi="Lato" w:cs="Lato"/>
          <w:color w:val="000000" w:themeColor="text1"/>
          <w:sz w:val="20"/>
          <w:szCs w:val="20"/>
          <w:u w:val="single"/>
        </w:rPr>
        <w:t>Scope</w:t>
      </w:r>
      <w:r w:rsidRPr="3D43DD34">
        <w:rPr>
          <w:rFonts w:ascii="Lato" w:eastAsia="Lato" w:hAnsi="Lato" w:cs="Lato"/>
          <w:color w:val="000000" w:themeColor="text1"/>
          <w:sz w:val="20"/>
          <w:szCs w:val="20"/>
        </w:rPr>
        <w:t>. PrismHR’s contractor management service consists of onboarding and executing payments to individuals engaged under a Contractor Agreement with Customer or an End Customer. Under the contractor of record (Contractor Plus / AOR) service, PrismHR (or its affiliate or in-country partner) instead contracts directly with the Contractor on Customer’s or an End Customer’s behalf, onboards, and executes payments to that Contractor. In either case, PrismHR makes no representations regarding the quality of a Contractor’s work and is not responsible for a Contractor’s errors or omissions. PrismHR’s obligation to pay Contractors is conditioned upon PrismHR’s actual receipt of payment from Customer. PrismHR assumes no liability for Customer’s or an End Customer’s acts, failures, or omissions, including any failure to make payments owed to a Contractor.</w:t>
      </w:r>
    </w:p>
    <w:p w14:paraId="732F0DA9" w14:textId="5A7A4C49"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(ii) </w:t>
      </w:r>
      <w:r w:rsidRPr="3D43DD34">
        <w:rPr>
          <w:rFonts w:ascii="Lato" w:eastAsia="Lato" w:hAnsi="Lato" w:cs="Lato"/>
          <w:color w:val="000000" w:themeColor="text1"/>
          <w:sz w:val="20"/>
          <w:szCs w:val="20"/>
          <w:u w:val="single"/>
        </w:rPr>
        <w:t>Customer Responsibility.</w:t>
      </w:r>
      <w:r w:rsidRPr="3D43DD34">
        <w:rPr>
          <w:rFonts w:ascii="Lato" w:eastAsia="Lato" w:hAnsi="Lato" w:cs="Lato"/>
          <w:b/>
          <w:bCs/>
          <w:color w:val="000000" w:themeColor="text1"/>
          <w:sz w:val="20"/>
          <w:szCs w:val="20"/>
        </w:rPr>
        <w:t xml:space="preserve"> </w:t>
      </w:r>
      <w:r w:rsidRPr="3D43DD34">
        <w:rPr>
          <w:rFonts w:ascii="Lato" w:eastAsia="Lato" w:hAnsi="Lato" w:cs="Lato"/>
          <w:color w:val="000000" w:themeColor="text1"/>
          <w:sz w:val="20"/>
          <w:szCs w:val="20"/>
        </w:rPr>
        <w:t>Unless Customer engages PrismHR for recruiting services, Customer (or its End Customer) is responsible for recruiting Contractors who are qualified and eligible to contract legally in their country of residence, and for negotiating and communicating to PrismHR the terms of each engagement, including services, cost, and payment cadence. Customer shall promptly review all invoices and understands that, once a payment to a Contractor is initiated, it cannot be stopped or changed. Disputes between Customer or an End Customer and a Contractor must be resolved directly between them.</w:t>
      </w:r>
    </w:p>
    <w:p w14:paraId="066CA5C4" w14:textId="796987D0"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(iii) </w:t>
      </w:r>
      <w:r w:rsidRPr="3D43DD34">
        <w:rPr>
          <w:rFonts w:ascii="Lato" w:eastAsia="Lato" w:hAnsi="Lato" w:cs="Lato"/>
          <w:color w:val="000000" w:themeColor="text1"/>
          <w:sz w:val="20"/>
          <w:szCs w:val="20"/>
          <w:u w:val="single"/>
        </w:rPr>
        <w:t>Payments.</w:t>
      </w:r>
      <w:r w:rsidRPr="3D43DD34">
        <w:rPr>
          <w:rFonts w:ascii="Lato" w:eastAsia="Lato" w:hAnsi="Lato" w:cs="Lato"/>
          <w:b/>
          <w:bCs/>
          <w:color w:val="000000" w:themeColor="text1"/>
          <w:sz w:val="20"/>
          <w:szCs w:val="20"/>
        </w:rPr>
        <w:t xml:space="preserve"> </w:t>
      </w:r>
      <w:r w:rsidRPr="3D43DD34">
        <w:rPr>
          <w:rFonts w:ascii="Lato" w:eastAsia="Lato" w:hAnsi="Lato" w:cs="Lato"/>
          <w:color w:val="000000" w:themeColor="text1"/>
          <w:sz w:val="20"/>
          <w:szCs w:val="20"/>
        </w:rPr>
        <w:t>Customer must pre-fund all amounts owed to Contractors before the applicable pay date. PrismHR will not release payment to Contractors until it has received funds in full from Customer. If Customer fails to pay PrismHR timely, Customer is solely responsible for any resulting claims, interest, late fees, losses, or damages, including those owed to Contractors.</w:t>
      </w:r>
    </w:p>
    <w:p w14:paraId="730C8EC6" w14:textId="531C6D8D" w:rsidR="4188218F" w:rsidRDefault="4188218F" w:rsidP="3D43DD34">
      <w:pPr>
        <w:spacing w:after="140" w:line="264" w:lineRule="auto"/>
        <w:ind w:left="2"/>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(iv) </w:t>
      </w:r>
      <w:r w:rsidRPr="3D43DD34">
        <w:rPr>
          <w:rFonts w:ascii="Lato" w:eastAsia="Lato" w:hAnsi="Lato" w:cs="Lato"/>
          <w:color w:val="000000" w:themeColor="text1"/>
          <w:sz w:val="20"/>
          <w:szCs w:val="20"/>
          <w:u w:val="single"/>
        </w:rPr>
        <w:t>Compliance and Classification</w:t>
      </w:r>
      <w:r w:rsidRPr="3D43DD34">
        <w:rPr>
          <w:rFonts w:ascii="Lato" w:eastAsia="Lato" w:hAnsi="Lato" w:cs="Lato"/>
          <w:color w:val="000000" w:themeColor="text1"/>
          <w:sz w:val="20"/>
          <w:szCs w:val="20"/>
        </w:rPr>
        <w:t>.</w:t>
      </w:r>
      <w:r w:rsidRPr="3D43DD34">
        <w:rPr>
          <w:rFonts w:ascii="Lato" w:eastAsia="Lato" w:hAnsi="Lato" w:cs="Lato"/>
          <w:b/>
          <w:bCs/>
          <w:color w:val="000000" w:themeColor="text1"/>
          <w:sz w:val="20"/>
          <w:szCs w:val="20"/>
        </w:rPr>
        <w:t xml:space="preserve"> </w:t>
      </w:r>
      <w:r w:rsidRPr="3D43DD34">
        <w:rPr>
          <w:rFonts w:ascii="Lato" w:eastAsia="Lato" w:hAnsi="Lato" w:cs="Lato"/>
          <w:color w:val="000000" w:themeColor="text1"/>
          <w:sz w:val="20"/>
          <w:szCs w:val="20"/>
        </w:rPr>
        <w:t>Customer expressly understands that independent contractors must be properly classified and may not be treated as employees or in any way inconsistent with the engagement of a Contractor. By selecting our Contractor or Contractor of Record Services, Customer confirms that it understands these requirements and will comply with all applicable laws and regulations.</w:t>
      </w:r>
    </w:p>
    <w:p w14:paraId="6939C405" w14:textId="12513425"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If PrismHR provides classification guidance either directly or through a tool in the Platform, Customer understands that PrismHR is not providing legal advice and Customer is still solely responsible for ensuring proper classification. PrismHR reserves the right, but is not obligated, to conduct compliance checks at any time, including before accepting the engagement or throughout the term. Customer understands that any compliance review performed by PrismHR is solely for its own internal risk assessment and does not reduce or replace Customer´s obligation to comply with applicable law. Customer agrees to provide complete, accurate, and timely information when requested for compliance evaluation purposes. PrismHR may decline or discontinue service at any time if it determines that there is a risk of misclassification or potential liability for PrismHR. Customer understands that PrismHR does not provide insurance of any type for Contractors. Contractors, as independent service providers, are responsible for maintaining any insurance coverage appropriate to the nature of the service that they provide. PrismHR will not provide, procure, or be responsible for insurance coverage for any Contractor, unless expressly agreed in writing on a case-by-case basis. Customer shall be responsible for ensuring that the Contractors have the appropriate insurance policies in place.</w:t>
      </w:r>
    </w:p>
    <w:p w14:paraId="30E743E0" w14:textId="057AF222" w:rsidR="4188218F" w:rsidRDefault="4188218F" w:rsidP="3D43DD34">
      <w:pPr>
        <w:spacing w:before="180" w:after="80"/>
        <w:rPr>
          <w:rFonts w:ascii="Lato" w:eastAsia="Lato" w:hAnsi="Lato" w:cs="Lato"/>
          <w:color w:val="000000" w:themeColor="text1"/>
          <w:sz w:val="20"/>
          <w:szCs w:val="20"/>
        </w:rPr>
      </w:pPr>
      <w:r w:rsidRPr="3D43DD34">
        <w:rPr>
          <w:rFonts w:ascii="Lato" w:eastAsia="Lato" w:hAnsi="Lato" w:cs="Lato"/>
          <w:b/>
          <w:bCs/>
          <w:color w:val="000000" w:themeColor="text1"/>
          <w:sz w:val="20"/>
          <w:szCs w:val="20"/>
        </w:rPr>
        <w:t>c)  Additional Services.</w:t>
      </w:r>
    </w:p>
    <w:p w14:paraId="08679250" w14:textId="6058F404" w:rsidR="4188218F" w:rsidRDefault="4188218F" w:rsidP="3D43DD34">
      <w:pPr>
        <w:spacing w:before="180" w:after="80"/>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(i) </w:t>
      </w:r>
      <w:r w:rsidRPr="3D43DD34">
        <w:rPr>
          <w:rFonts w:ascii="Lato" w:eastAsia="Lato" w:hAnsi="Lato" w:cs="Lato"/>
          <w:color w:val="000000" w:themeColor="text1"/>
          <w:sz w:val="20"/>
          <w:szCs w:val="20"/>
          <w:u w:val="single"/>
        </w:rPr>
        <w:t>Scope</w:t>
      </w:r>
      <w:r w:rsidRPr="3D43DD34">
        <w:rPr>
          <w:rFonts w:ascii="Lato" w:eastAsia="Lato" w:hAnsi="Lato" w:cs="Lato"/>
          <w:color w:val="000000" w:themeColor="text1"/>
          <w:sz w:val="20"/>
          <w:szCs w:val="20"/>
        </w:rPr>
        <w:t>. PrismHR may provide additional or ancillary services beyond those expressly listed in this Agreement, as agreed between the Parties in an applicable SOW (“Additional Services”). Applicable fees, costs, and implementation requirements for such Additional Services shall be reflected in the applicable SOW or other written agreement between the Parties.</w:t>
      </w:r>
    </w:p>
    <w:p w14:paraId="0E15CDED" w14:textId="51DA91D6"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(ii) </w:t>
      </w:r>
      <w:r w:rsidRPr="3D43DD34">
        <w:rPr>
          <w:rFonts w:ascii="Lato" w:eastAsia="Lato" w:hAnsi="Lato" w:cs="Lato"/>
          <w:color w:val="000000" w:themeColor="text1"/>
          <w:sz w:val="20"/>
          <w:szCs w:val="20"/>
          <w:u w:val="single"/>
        </w:rPr>
        <w:t>Immigration Services</w:t>
      </w:r>
      <w:r w:rsidRPr="3D43DD34">
        <w:rPr>
          <w:rFonts w:ascii="Lato" w:eastAsia="Lato" w:hAnsi="Lato" w:cs="Lato"/>
          <w:color w:val="000000" w:themeColor="text1"/>
          <w:sz w:val="20"/>
          <w:szCs w:val="20"/>
        </w:rPr>
        <w:t xml:space="preserve">. Upon request by Customer, PrismHR may coordinate with immigration counsel, consultants, or specialists in connection with immigration or work authorization processes for designated individuals. Customer shall provide complete, accurate, and timely information and documentation and shall be responsible for all legal and </w:t>
      </w:r>
      <w:r w:rsidRPr="3D43DD34">
        <w:rPr>
          <w:rFonts w:ascii="Lato" w:eastAsia="Lato" w:hAnsi="Lato" w:cs="Lato"/>
          <w:color w:val="000000" w:themeColor="text1"/>
          <w:sz w:val="20"/>
          <w:szCs w:val="20"/>
        </w:rPr>
        <w:lastRenderedPageBreak/>
        <w:t xml:space="preserve">filing fees, government fees, translation costs, courier expenses, sponsorship obligations, wage requirements, posting obligations, and related costs. Customer authorizes PrismHR to share necessary information and personal data with immigration counsel, vendors, and governmental authorities in connection with such services. PrismHR does not guarantee the approval, issuance, or timing of any visa, permit, or immigration authorization, and all applicable fees shall remain payable regardless of the outcome of any application or filing. If PrismHR is required to sponsor a workers´ visa or work permit, it shall charge a monthly sponsorship fee, that will be separate from any costs and expenses that will be passed through to the Customer. </w:t>
      </w:r>
    </w:p>
    <w:p w14:paraId="39A1E63B" w14:textId="73ED7FEE"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(iii) </w:t>
      </w:r>
      <w:r w:rsidRPr="3D43DD34">
        <w:rPr>
          <w:rFonts w:ascii="Lato" w:eastAsia="Lato" w:hAnsi="Lato" w:cs="Lato"/>
          <w:color w:val="000000" w:themeColor="text1"/>
          <w:sz w:val="20"/>
          <w:szCs w:val="20"/>
          <w:u w:val="single"/>
        </w:rPr>
        <w:t>Recruiting Services.</w:t>
      </w:r>
      <w:r w:rsidRPr="3D43DD34">
        <w:rPr>
          <w:rFonts w:ascii="Lato" w:eastAsia="Lato" w:hAnsi="Lato" w:cs="Lato"/>
          <w:color w:val="000000" w:themeColor="text1"/>
          <w:sz w:val="20"/>
          <w:szCs w:val="20"/>
        </w:rPr>
        <w:t xml:space="preserve"> </w:t>
      </w:r>
    </w:p>
    <w:p w14:paraId="78AFE805" w14:textId="2D66EC04"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If the parties agree that PrismHR will perform recruiting services for Customer or its End Customers, the applicable Statement of Work shall identify the recruiting model and applicable fees. PrismHR offers two options for recruiting based on its clients´ hiring needs: </w:t>
      </w:r>
    </w:p>
    <w:p w14:paraId="473FFB5B" w14:textId="032BA738" w:rsidR="4188218F" w:rsidRDefault="4188218F" w:rsidP="3D43DD34">
      <w:pPr>
        <w:pStyle w:val="ListParagraph"/>
        <w:numPr>
          <w:ilvl w:val="0"/>
          <w:numId w:val="2"/>
        </w:num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Co</w:t>
      </w:r>
      <w:r w:rsidRPr="3D43DD34">
        <w:rPr>
          <w:rFonts w:ascii="Lato" w:eastAsia="Lato" w:hAnsi="Lato" w:cs="Lato"/>
          <w:color w:val="000000" w:themeColor="text1"/>
          <w:sz w:val="20"/>
          <w:szCs w:val="20"/>
          <w:u w:val="single"/>
        </w:rPr>
        <w:t>ntingent search</w:t>
      </w:r>
      <w:r w:rsidRPr="3D43DD34">
        <w:rPr>
          <w:rFonts w:ascii="Lato" w:eastAsia="Lato" w:hAnsi="Lato" w:cs="Lato"/>
          <w:color w:val="000000" w:themeColor="text1"/>
          <w:sz w:val="20"/>
          <w:szCs w:val="20"/>
        </w:rPr>
        <w:t xml:space="preserve">: Contingent search recruiting services are charged on a success basis. If Customer or its End Customers, directly or indirectly hire any candidates introduced by PrismHR within twelve (12) months of the introduction of such candidate, Customer shall pay the Placement Fee specified in the applicable SOW, which shall be a percentage of the candidate´s first year base salary. The Placement Fee shall be due within twenty-one (21) days following the selected candidate´s first day of employment. If the candidate´s employment ends within the first ninety (90) days for reasons other than restructuring, job elimination, reduction illness or disability of the candidate, PrismHR shall provide a replacement candidate or credit towards a future placement. </w:t>
      </w:r>
    </w:p>
    <w:p w14:paraId="614D4A9E" w14:textId="3B297538" w:rsidR="4188218F" w:rsidRDefault="4188218F" w:rsidP="3D43DD34">
      <w:pPr>
        <w:pStyle w:val="ListParagraph"/>
        <w:numPr>
          <w:ilvl w:val="0"/>
          <w:numId w:val="2"/>
        </w:num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u w:val="single"/>
        </w:rPr>
        <w:t>Subscription-based recruiting</w:t>
      </w:r>
      <w:r w:rsidRPr="3D43DD34">
        <w:rPr>
          <w:rFonts w:ascii="Lato" w:eastAsia="Lato" w:hAnsi="Lato" w:cs="Lato"/>
          <w:color w:val="000000" w:themeColor="text1"/>
          <w:sz w:val="20"/>
          <w:szCs w:val="20"/>
        </w:rPr>
        <w:t xml:space="preserve">. PrismHR shall provide recruiting support on a recurring monthly basis by dedicating the number of hours that Customer selects to perform recruiting services. Under this model, PrismHR does not guarantee successful hires, but it commits to dedicating the number of hours contracted to find and present candidates to Customer. Service hours must be used evenly throughout each billing cycle, and hours not used will not roll over to the next billing cycle. </w:t>
      </w:r>
    </w:p>
    <w:p w14:paraId="0F891125" w14:textId="7A8AA335" w:rsidR="4188218F" w:rsidRDefault="4188218F" w:rsidP="3D43DD34">
      <w:pPr>
        <w:spacing w:after="140" w:line="264" w:lineRule="auto"/>
        <w:ind w:left="362"/>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Under this subscription-based option, there is a minimum commitment of ninety (90) days. After that, the subscription renews month-to-month, and Customer may cancel the service with thirty (30) days´ written notice. If Customer terminates before the initial 90-day period, an early adjustment fee of USD $3,000 will apply. This fee is waived if no hires occur during that period.</w:t>
      </w:r>
    </w:p>
    <w:p w14:paraId="2D0000F2" w14:textId="4A21C7DE" w:rsidR="4188218F" w:rsidRDefault="4188218F" w:rsidP="3D43DD34">
      <w:pPr>
        <w:spacing w:after="140" w:line="264" w:lineRule="auto"/>
        <w:ind w:left="362"/>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The first months´ payment will be due upon engagement. PrismHR will not commence the service until the first months´ payment is received. Thereafter, monthly invoices will be due upon ten (10) days from receipt. PrismHR may suspend or terminate the services upon Customer´s failure to pay any invoices. If PrismHR terminates the services due to lack of payment during the first ninety (90) days, Customer will owe the early adjustment fee described in the paragraph above. </w:t>
      </w:r>
    </w:p>
    <w:p w14:paraId="4E593B0F" w14:textId="37DBE4BE" w:rsidR="4188218F" w:rsidRDefault="4188218F" w:rsidP="3D43DD34">
      <w:pPr>
        <w:pStyle w:val="ListParagraph"/>
        <w:numPr>
          <w:ilvl w:val="0"/>
          <w:numId w:val="2"/>
        </w:num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u w:val="single"/>
        </w:rPr>
        <w:t>General recruiting terms</w:t>
      </w:r>
      <w:r w:rsidRPr="3D43DD34">
        <w:rPr>
          <w:rFonts w:ascii="Lato" w:eastAsia="Lato" w:hAnsi="Lato" w:cs="Lato"/>
          <w:color w:val="000000" w:themeColor="text1"/>
          <w:sz w:val="20"/>
          <w:szCs w:val="20"/>
        </w:rPr>
        <w:t>. A hire will be successful (and therefore the Placement Fee will be owed) if a candidate referred to Customer by PrismHR is hired, directly or indirectly, full or part time, for any position as an employee, consultant, or independent contractor by Customer its End Customers, or their respective affiliates or subsidiaries within 12 months of introduction of that candidate, or from the last contact had between the parties about that candidate. Customer´s (or End Customer´s) decision to hire a Selected Candidate shall be their sole responsibility and decision. Further, PrismHR expressly disclaims any liability or responsibility whatsoever for any selected candidate’s actions or omissions occurring before or after the selected candidate’s hire date.</w:t>
      </w:r>
    </w:p>
    <w:p w14:paraId="2A98C7E6" w14:textId="0CD5C45B"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(iv) </w:t>
      </w:r>
      <w:r w:rsidRPr="3D43DD34">
        <w:rPr>
          <w:rFonts w:ascii="Lato" w:eastAsia="Lato" w:hAnsi="Lato" w:cs="Lato"/>
          <w:color w:val="000000" w:themeColor="text1"/>
          <w:sz w:val="20"/>
          <w:szCs w:val="20"/>
          <w:u w:val="single"/>
        </w:rPr>
        <w:t>Benefits</w:t>
      </w:r>
      <w:r w:rsidRPr="3D43DD34">
        <w:rPr>
          <w:rFonts w:ascii="Lato" w:eastAsia="Lato" w:hAnsi="Lato" w:cs="Lato"/>
          <w:color w:val="000000" w:themeColor="text1"/>
          <w:sz w:val="20"/>
          <w:szCs w:val="20"/>
        </w:rPr>
        <w:t xml:space="preserve">. In addition to statutory benefits, PrismHR may, at Customer´s request, provide additional services relating to worker benefits, including, without limitation, the administration, coordination, procurement, or facilitation of benefits based on eligibility and availability. The pricing and any additional terms shall be set forth in the applicable SOW. </w:t>
      </w:r>
    </w:p>
    <w:p w14:paraId="48E999CC" w14:textId="382281AE" w:rsidR="3D43DD34" w:rsidRDefault="3D43DD34" w:rsidP="3D43DD34">
      <w:pPr>
        <w:spacing w:after="140" w:line="264" w:lineRule="auto"/>
        <w:jc w:val="both"/>
        <w:rPr>
          <w:rFonts w:ascii="Lato" w:eastAsia="Lato" w:hAnsi="Lato" w:cs="Lato"/>
          <w:color w:val="000000" w:themeColor="text1"/>
          <w:sz w:val="20"/>
          <w:szCs w:val="20"/>
        </w:rPr>
      </w:pPr>
    </w:p>
    <w:p w14:paraId="291A2136" w14:textId="30866D45"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lastRenderedPageBreak/>
        <w:t>d)</w:t>
      </w:r>
      <w:r w:rsidRPr="3D43DD34">
        <w:rPr>
          <w:rFonts w:ascii="Lato" w:eastAsia="Lato" w:hAnsi="Lato" w:cs="Lato"/>
          <w:color w:val="000000" w:themeColor="text1"/>
          <w:sz w:val="20"/>
          <w:szCs w:val="20"/>
        </w:rPr>
        <w:t xml:space="preserve"> </w:t>
      </w:r>
      <w:r w:rsidRPr="3D43DD34">
        <w:rPr>
          <w:rFonts w:ascii="Lato" w:eastAsia="Lato" w:hAnsi="Lato" w:cs="Lato"/>
          <w:b/>
          <w:bCs/>
          <w:color w:val="000000" w:themeColor="text1"/>
          <w:sz w:val="20"/>
          <w:szCs w:val="20"/>
        </w:rPr>
        <w:t>Affiliates and Third-Party Providers.</w:t>
      </w:r>
    </w:p>
    <w:p w14:paraId="3595F04F" w14:textId="0D9CFED1"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PrismHR may provide the Global Services through its affiliates, related entities, in-country partners, and other third-party providers (including in-country employers of record, benefits providers, and payment providers). PrismHR remains responsible for the performance of the Global Services in accordance with this Annex notwithstanding any such arrangement. Customer authorizes PrismHR to share information reasonably necessary for the provision of the Global Services with such providers, subject to applicable law and the confidentiality and data protection terms applicable to the Parties.</w:t>
      </w:r>
    </w:p>
    <w:p w14:paraId="7346CC3C" w14:textId="77C5A87B"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4) DELIVERY MODEL.</w:t>
      </w:r>
    </w:p>
    <w:p w14:paraId="11C4227C" w14:textId="18C5A14D"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Client may elect between the following models. Pricing for each model shall be outlined in the Pricing Schedule. </w:t>
      </w:r>
    </w:p>
    <w:p w14:paraId="55372704" w14:textId="6B39EC3B"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a) </w:t>
      </w:r>
      <w:r w:rsidRPr="3D43DD34">
        <w:rPr>
          <w:rFonts w:ascii="Lato" w:eastAsia="Lato" w:hAnsi="Lato" w:cs="Lato"/>
          <w:b/>
          <w:bCs/>
          <w:color w:val="000000" w:themeColor="text1"/>
          <w:sz w:val="20"/>
          <w:szCs w:val="20"/>
        </w:rPr>
        <w:t>Standard (Co-Branded) Services.</w:t>
      </w:r>
    </w:p>
    <w:p w14:paraId="698A379C" w14:textId="616E4074"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Under the Standard (Co-Branded) model, Customer remains the client-facing and contracting party with its End Customers, but the involvement of PrismHR as the provider of the Global Services is disclosed and may be presented to End Customers. </w:t>
      </w:r>
    </w:p>
    <w:p w14:paraId="53B96BAA" w14:textId="7E403314"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b) </w:t>
      </w:r>
      <w:r w:rsidRPr="3D43DD34">
        <w:rPr>
          <w:rFonts w:ascii="Lato" w:eastAsia="Lato" w:hAnsi="Lato" w:cs="Lato"/>
          <w:b/>
          <w:bCs/>
          <w:color w:val="000000" w:themeColor="text1"/>
          <w:sz w:val="20"/>
          <w:szCs w:val="20"/>
        </w:rPr>
        <w:t>Custom Portal Branding</w:t>
      </w:r>
    </w:p>
    <w:p w14:paraId="15864AD8" w14:textId="544AE34D"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Under the Custom Portal Branding option, Customer may market and present the Global Services under Customer’s own brand. To support Customer’s sales efforts, PrismHR will configure a Customer-branded instance or presentation of the Platform, including Customer’s logo and other branding elements, to the extent supported by the Platform.</w:t>
      </w:r>
    </w:p>
    <w:p w14:paraId="3CC8FE36" w14:textId="59267099"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Upon Customer’s request to implement the Custom Portal Branding option, Customer shall pay a one-time implementation fee. Such fee shall be due and payable upon Customer’s election to proceed with the Custom Portal Branding option and is non-refundable, regardless of whether Customer has identified any End Customers or ultimately utilizes or sells the Services. The implementation fee covers the configuration and branding work required to establish Customer’s branded experience and is independent of Customer’s subsequent use of the Services.</w:t>
      </w:r>
    </w:p>
    <w:p w14:paraId="349F863D" w14:textId="09091CFF"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Customer’s branded access is provided under, and remains subject to, the Platform license and restrictions set forth in this Agreement. Such branded access does not transfer to Customer any ownership of, or rights in, the Platform or PrismHR’s underlying technology, software, or intellectual property, nor does it grant Customer any right to reproduce, reverse engineer, modify, sublicense, or otherwise exploit the Platform except as expressly permitted under this Agreement</w:t>
      </w:r>
    </w:p>
    <w:p w14:paraId="0C827098" w14:textId="6812882E"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lang w:val="fr-FR"/>
        </w:rPr>
        <w:t xml:space="preserve">5) NON-CIRCUMVENTION AND NON-SOLICITATION. </w:t>
      </w:r>
    </w:p>
    <w:p w14:paraId="2AADE762" w14:textId="61F9D546"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During the Term and for a period of twelve (12) months following the date on which PrismHR ceases to provide Global Services with respect to a given Covered End Customer, PrismHR shall not knowingly circumvent Customer to provide the Global Services that are the subject of this Annex, directly or indirectly, to such Covered End Customer. </w:t>
      </w:r>
      <w:r w:rsidRPr="3D43DD34">
        <w:rPr>
          <w:rFonts w:ascii="Lato" w:eastAsia="Lato" w:hAnsi="Lato" w:cs="Lato"/>
          <w:b/>
          <w:bCs/>
          <w:color w:val="000000" w:themeColor="text1"/>
          <w:sz w:val="20"/>
          <w:szCs w:val="20"/>
        </w:rPr>
        <w:t>“Covered End Customer”</w:t>
      </w:r>
      <w:r w:rsidRPr="3D43DD34">
        <w:rPr>
          <w:rFonts w:ascii="Lato" w:eastAsia="Lato" w:hAnsi="Lato" w:cs="Lato"/>
          <w:color w:val="000000" w:themeColor="text1"/>
          <w:sz w:val="20"/>
          <w:szCs w:val="20"/>
        </w:rPr>
        <w:t xml:space="preserve"> means an End Customer to which PrismHR has, during the Term, indirectly provided Global Services under this Annex through Customer.</w:t>
      </w:r>
    </w:p>
    <w:p w14:paraId="7CFB785C" w14:textId="32C3F916"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This Section does not restrict PrismHR or its affiliates with respect to: (a) any person or entity that approaches PrismHR or its affiliates independently and not as a result of the relationship established under this Annex; (b) any pre-existing customer or relationship of PrismHR or its affiliates; (c) general advertising or marketing not specifically directed at Covered End Customers; or (d) any products or services other than the Global Services.</w:t>
      </w:r>
    </w:p>
    <w:p w14:paraId="34D26530" w14:textId="56F4A6EE"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Additionally, the parties agree that during the Term and of twelve (12) months thereafter, Customer shall not solicit for employment or hire PrismHR’s internal employees with whom Customer comes into contact in connection with the Global Services. </w:t>
      </w:r>
    </w:p>
    <w:p w14:paraId="60A513D2" w14:textId="4704C1EA"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 xml:space="preserve">6) FEES. </w:t>
      </w:r>
    </w:p>
    <w:p w14:paraId="1228E30F" w14:textId="018AB891"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lastRenderedPageBreak/>
        <w:t xml:space="preserve">a) </w:t>
      </w:r>
      <w:r w:rsidRPr="3D43DD34">
        <w:rPr>
          <w:rFonts w:ascii="Lato" w:eastAsia="Lato" w:hAnsi="Lato" w:cs="Lato"/>
          <w:color w:val="000000" w:themeColor="text1"/>
          <w:sz w:val="20"/>
          <w:szCs w:val="20"/>
          <w:u w:val="single"/>
        </w:rPr>
        <w:t>Pricing</w:t>
      </w:r>
      <w:r w:rsidRPr="3D43DD34">
        <w:rPr>
          <w:rFonts w:ascii="Lato" w:eastAsia="Lato" w:hAnsi="Lato" w:cs="Lato"/>
          <w:color w:val="000000" w:themeColor="text1"/>
          <w:sz w:val="20"/>
          <w:szCs w:val="20"/>
        </w:rPr>
        <w:t>.</w:t>
      </w:r>
      <w:r w:rsidRPr="3D43DD34">
        <w:rPr>
          <w:rFonts w:ascii="Lato" w:eastAsia="Lato" w:hAnsi="Lato" w:cs="Lato"/>
          <w:b/>
          <w:bCs/>
          <w:color w:val="000000" w:themeColor="text1"/>
          <w:sz w:val="20"/>
          <w:szCs w:val="20"/>
        </w:rPr>
        <w:t xml:space="preserve">  </w:t>
      </w:r>
      <w:r w:rsidRPr="3D43DD34">
        <w:rPr>
          <w:rFonts w:ascii="Lato" w:eastAsia="Lato" w:hAnsi="Lato" w:cs="Lato"/>
          <w:color w:val="000000" w:themeColor="text1"/>
          <w:sz w:val="20"/>
          <w:szCs w:val="20"/>
        </w:rPr>
        <w:t>Customer shall pay PrismHR all Service Fees, Pass-Through Costs, Transition Costs, Offboarding Fees, and all other amounts payable under this Agreement, the applicable Statement(s) of Work ("SOW"), or otherwise incurred in connection with the Services.</w:t>
      </w:r>
    </w:p>
    <w:p w14:paraId="6BED17FC" w14:textId="6DB11678"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Unless expressly stated otherwise in the applicable SOW, the Service Fees compensate PrismHR solely for the administrative and other Services expressly described therein and do not include Pass-Through Costs or any other reimbursable amounts. Customer shall reimburse or fund all Pass-Through Costs incurred by or payable through PrismHR in connection with the Services. The applicable SOW shall specify the wholesale pricing applicable to the Services. </w:t>
      </w:r>
    </w:p>
    <w:p w14:paraId="3D340CB8" w14:textId="49F6545F"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b) </w:t>
      </w:r>
      <w:r w:rsidRPr="3D43DD34">
        <w:rPr>
          <w:rFonts w:ascii="Lato" w:eastAsia="Lato" w:hAnsi="Lato" w:cs="Lato"/>
          <w:color w:val="000000" w:themeColor="text1"/>
          <w:sz w:val="20"/>
          <w:szCs w:val="20"/>
          <w:u w:val="single"/>
        </w:rPr>
        <w:t>EOR Pricing.</w:t>
      </w:r>
      <w:r w:rsidRPr="3D43DD34">
        <w:rPr>
          <w:rFonts w:ascii="Lato" w:eastAsia="Lato" w:hAnsi="Lato" w:cs="Lato"/>
          <w:b/>
          <w:bCs/>
          <w:color w:val="000000" w:themeColor="text1"/>
          <w:sz w:val="20"/>
          <w:szCs w:val="20"/>
        </w:rPr>
        <w:t xml:space="preserve"> </w:t>
      </w:r>
      <w:r w:rsidRPr="3D43DD34">
        <w:rPr>
          <w:rFonts w:ascii="Lato" w:eastAsia="Lato" w:hAnsi="Lato" w:cs="Lato"/>
          <w:color w:val="000000" w:themeColor="text1"/>
          <w:sz w:val="20"/>
          <w:szCs w:val="20"/>
        </w:rPr>
        <w:t>The charges applicable to the Employer of Record Services shall consist of: (i) the applicable Service Fees; (ii) the Onboarding Fees set forth in the SOW; (iii) all Pass-Through Costs; (iv) all Transition Costs and Offboarding Fees; (v) any other fees or charges expressly identified in this Agreement or the applicable SOW.</w:t>
      </w:r>
    </w:p>
    <w:p w14:paraId="2ADE61C9" w14:textId="76B31D1E"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In addition to the Security Deposit, Customer must fund an estimate of one month’s employment cost in advance of the Assigned Employee’s start date.</w:t>
      </w:r>
    </w:p>
    <w:p w14:paraId="53F7D528" w14:textId="65EF4AE9"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c) </w:t>
      </w:r>
      <w:r w:rsidRPr="3D43DD34">
        <w:rPr>
          <w:rFonts w:ascii="Lato" w:eastAsia="Lato" w:hAnsi="Lato" w:cs="Lato"/>
          <w:color w:val="000000" w:themeColor="text1"/>
          <w:sz w:val="20"/>
          <w:szCs w:val="20"/>
          <w:u w:val="single"/>
        </w:rPr>
        <w:t>Contractor Pricing.</w:t>
      </w:r>
      <w:r w:rsidRPr="3D43DD34">
        <w:rPr>
          <w:rFonts w:ascii="Lato" w:eastAsia="Lato" w:hAnsi="Lato" w:cs="Lato"/>
          <w:b/>
          <w:bCs/>
          <w:color w:val="000000" w:themeColor="text1"/>
          <w:sz w:val="20"/>
          <w:szCs w:val="20"/>
        </w:rPr>
        <w:t xml:space="preserve"> </w:t>
      </w:r>
      <w:r w:rsidRPr="3D43DD34">
        <w:rPr>
          <w:rFonts w:ascii="Lato" w:eastAsia="Lato" w:hAnsi="Lato" w:cs="Lato"/>
          <w:color w:val="000000" w:themeColor="text1"/>
          <w:sz w:val="20"/>
          <w:szCs w:val="20"/>
        </w:rPr>
        <w:t>The charges applicable to the Contractor Management Services and Contractor of Record shall consist of: (i) the applicable Service Fees; and (ii) all Contractor compensation funded through PrismHR. </w:t>
      </w:r>
    </w:p>
    <w:p w14:paraId="22B575CF" w14:textId="45EFAE17"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d) </w:t>
      </w:r>
      <w:r w:rsidRPr="3D43DD34">
        <w:rPr>
          <w:rFonts w:ascii="Lato" w:eastAsia="Lato" w:hAnsi="Lato" w:cs="Lato"/>
          <w:color w:val="000000" w:themeColor="text1"/>
          <w:sz w:val="20"/>
          <w:szCs w:val="20"/>
          <w:u w:val="single"/>
        </w:rPr>
        <w:t>Expenses.</w:t>
      </w:r>
      <w:r w:rsidRPr="3D43DD34">
        <w:rPr>
          <w:rFonts w:ascii="Lato" w:eastAsia="Lato" w:hAnsi="Lato" w:cs="Lato"/>
          <w:color w:val="000000" w:themeColor="text1"/>
          <w:sz w:val="20"/>
          <w:szCs w:val="20"/>
        </w:rPr>
        <w:t xml:space="preserve"> An Assigned Employee or Contractor may incur work-related expenses (e.g., travel or equipment costs) while performing services for an End Customer. Customer agrees to pay PrismHR for all expenses incurred by an Assigned Employee or Contractor in providing services to End Customers, if the expense is required to provide services and/or is approved by Customer. PrismHR reserves the right to charge a fee no greater than 5% of the total expense amount for administration.</w:t>
      </w:r>
    </w:p>
    <w:p w14:paraId="6A76E224" w14:textId="762AE75A"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e) </w:t>
      </w:r>
      <w:r w:rsidRPr="3D43DD34">
        <w:rPr>
          <w:rFonts w:ascii="Lato" w:eastAsia="Lato" w:hAnsi="Lato" w:cs="Lato"/>
          <w:color w:val="000000" w:themeColor="text1"/>
          <w:sz w:val="20"/>
          <w:szCs w:val="20"/>
          <w:u w:val="single"/>
        </w:rPr>
        <w:t>Transition Costs and Offboarding Fees.</w:t>
      </w:r>
    </w:p>
    <w:p w14:paraId="56431F5A" w14:textId="4DC0C18F"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Upon termination or dismissal of any Assigned Employee or upon termination of the Agreement resulting in termination or dismissal of all Assigned Employees, Customer agrees to pay all costs associated with such terminations or dismissals, including without limitation legal costs, severance costs, or other expenses in the amount incurred as part of the termination or dismissal, plus an additional Offboarding Fee of USD $500.00 to PrismHR. Customer agrees that the requirement to pay Transition Costs and Offboarding Fees continues beyond the termination of this Agreement and any applicable SOW.</w:t>
      </w:r>
    </w:p>
    <w:p w14:paraId="33BC9F70" w14:textId="142A14B0"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f) </w:t>
      </w:r>
      <w:r w:rsidRPr="3D43DD34">
        <w:rPr>
          <w:rFonts w:ascii="Lato" w:eastAsia="Lato" w:hAnsi="Lato" w:cs="Lato"/>
          <w:color w:val="000000" w:themeColor="text1"/>
          <w:sz w:val="20"/>
          <w:szCs w:val="20"/>
          <w:u w:val="single"/>
        </w:rPr>
        <w:t>Pricing Adjustments.</w:t>
      </w:r>
    </w:p>
    <w:p w14:paraId="087BF40D" w14:textId="03CC4C59"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PrismHR may adjust Pass-Through Costs immediately and Service Fees upon reasonable prior notice to reflect changes in applicable law, taxes, statutory contributions, mandatory benefits, compensation, exchange rates, insurance costs, governmental charges, collective bargaining obligations, third-party provider costs, or any other circumstance affecting the cost of providing the Services.</w:t>
      </w:r>
    </w:p>
    <w:p w14:paraId="4DB1CF8E" w14:textId="53075181"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g) </w:t>
      </w:r>
      <w:r w:rsidRPr="3D43DD34">
        <w:rPr>
          <w:rFonts w:ascii="Lato" w:eastAsia="Lato" w:hAnsi="Lato" w:cs="Lato"/>
          <w:color w:val="000000" w:themeColor="text1"/>
          <w:sz w:val="20"/>
          <w:szCs w:val="20"/>
          <w:u w:val="single"/>
        </w:rPr>
        <w:t>Out of scope fees.</w:t>
      </w:r>
      <w:r w:rsidRPr="3D43DD34">
        <w:rPr>
          <w:rFonts w:ascii="Lato" w:eastAsia="Lato" w:hAnsi="Lato" w:cs="Lato"/>
          <w:color w:val="000000" w:themeColor="text1"/>
          <w:sz w:val="20"/>
          <w:szCs w:val="20"/>
        </w:rPr>
        <w:t xml:space="preserve"> Customer acknowledges that requests for services outside the agreed scope of the Services, off-cycle payrolls or payments, payroll re-runs, or other exceptional requests may result in additional Service Fees. Applicable fees shall be set forth in Annex A, the applicable SOW, or otherwise communicated by PrismHR prior to performance, where practicable.</w:t>
      </w:r>
    </w:p>
    <w:p w14:paraId="1F9F2668" w14:textId="634164DF"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7)</w:t>
      </w:r>
      <w:r w:rsidRPr="3D43DD34">
        <w:rPr>
          <w:rFonts w:ascii="Lato" w:eastAsia="Lato" w:hAnsi="Lato" w:cs="Lato"/>
          <w:color w:val="000000" w:themeColor="text1"/>
          <w:sz w:val="20"/>
          <w:szCs w:val="20"/>
        </w:rPr>
        <w:t xml:space="preserve"> </w:t>
      </w:r>
      <w:r w:rsidRPr="3D43DD34">
        <w:rPr>
          <w:rFonts w:ascii="Lato" w:eastAsia="Lato" w:hAnsi="Lato" w:cs="Lato"/>
          <w:b/>
          <w:bCs/>
          <w:color w:val="000000" w:themeColor="text1"/>
          <w:sz w:val="20"/>
          <w:szCs w:val="20"/>
        </w:rPr>
        <w:t>BILLING AND PAYMENTS</w:t>
      </w:r>
    </w:p>
    <w:p w14:paraId="2ED91853" w14:textId="5E2F416A"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a) </w:t>
      </w:r>
      <w:r w:rsidRPr="3D43DD34">
        <w:rPr>
          <w:rFonts w:ascii="Lato" w:eastAsia="Lato" w:hAnsi="Lato" w:cs="Lato"/>
          <w:color w:val="000000" w:themeColor="text1"/>
          <w:sz w:val="20"/>
          <w:szCs w:val="20"/>
          <w:u w:val="single"/>
        </w:rPr>
        <w:t>Payment of Month Fees</w:t>
      </w:r>
      <w:r w:rsidRPr="3D43DD34">
        <w:rPr>
          <w:rFonts w:ascii="Lato" w:eastAsia="Lato" w:hAnsi="Lato" w:cs="Lato"/>
          <w:color w:val="000000" w:themeColor="text1"/>
          <w:sz w:val="20"/>
          <w:szCs w:val="20"/>
        </w:rPr>
        <w:t xml:space="preserve">. Customer shall be responsible for funding all applicable Assigned Employee and Contractor payments and paying all Fees consistent with this Agreement via automatic clearing house transfer (“ACH”), unless otherwise expressly agreed by PrismHR in writing. Customer will provide the applicable ACH information via the Platform and hereby authorizes PrismHR to access, pull, transfer, and transmit the applicable payment to Assigned Employees and Contractors in accordance with this Agreement. Payment shall be considered </w:t>
      </w:r>
      <w:r w:rsidRPr="3D43DD34">
        <w:rPr>
          <w:rFonts w:ascii="Lato" w:eastAsia="Lato" w:hAnsi="Lato" w:cs="Lato"/>
          <w:color w:val="000000" w:themeColor="text1"/>
          <w:sz w:val="20"/>
          <w:szCs w:val="20"/>
        </w:rPr>
        <w:lastRenderedPageBreak/>
        <w:t>made only when PrismHR has received final, irrevocable credit in their bank. If an ACH is reversed, then Customer shall reimburse PrismHR for any related penalties and fees. All Fees will be pulled via direct ACH from the account provided to PrismHR by Customer at least five (5) business days before applicable Assigned Employee and/or Contractor payment is due and in accordance with Customer's ACH information provided on the Platform or other authorized Bank Transfer Authorization Form.</w:t>
      </w:r>
    </w:p>
    <w:p w14:paraId="75F1527F" w14:textId="5610224D"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Customer understands that payment of all invoices shall be made prior to each applicable pay date to Contractors or Assigned Employees. If PrismHR´s attempts to withdraw the amounts from Customer’s account are unsuccessful, or in cases where Customer is responsible for initiating payment and it doesn´t, Customer shall be responsible for all consequences arising out of late payments to Contractors or Assigned Employees. Customer agrees to indemnify, defend, and hold PrismHR harmless from and against all claims, costs, and liabilities arising out of or related to delayed payments to Contractors, Assigned Employees or other employer obligations due to Customer´s failure to timely pay any amounts due under this Agreement, or its failure to provide timely and accurate payroll information.</w:t>
      </w:r>
    </w:p>
    <w:p w14:paraId="7FEC753D" w14:textId="0F9B0E34"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b) </w:t>
      </w:r>
      <w:r w:rsidRPr="3D43DD34">
        <w:rPr>
          <w:rFonts w:ascii="Lato" w:eastAsia="Lato" w:hAnsi="Lato" w:cs="Lato"/>
          <w:color w:val="000000" w:themeColor="text1"/>
          <w:sz w:val="20"/>
          <w:szCs w:val="20"/>
          <w:u w:val="single"/>
        </w:rPr>
        <w:t>Invoice Payments</w:t>
      </w:r>
      <w:r w:rsidRPr="3D43DD34">
        <w:rPr>
          <w:rFonts w:ascii="Lato" w:eastAsia="Lato" w:hAnsi="Lato" w:cs="Lato"/>
          <w:color w:val="000000" w:themeColor="text1"/>
          <w:sz w:val="20"/>
          <w:szCs w:val="20"/>
        </w:rPr>
        <w:t>. For invoices other than those described in subsection (a) above, Customer agrees to pay all invoices within the timeframe set forth in the invoice or SOW. This subsection shall not apply to Services requiring pre-funding or to Services subject to different payment terms expressly agreed by the Parties. Where direct debit is supported, Customer authorizes PrismHR to auto withdraw all invoice amounts from Customer´s account any time on the due date as set forth on the invoice. If auto withdrawal is unsuccessful, PrismHR will renew the attempt to auto withdraw the applicable invoice amount until either it is successful, without limiting its other rights or remedies under law, or demand another form of payment.</w:t>
      </w:r>
    </w:p>
    <w:p w14:paraId="7BC4723F" w14:textId="22D84A2D"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If PrismHR agrees, in its sole discretion, to allow payment of invoices by credit card, all credit card transactions are subject to a processing administration fee of 3.5%</w:t>
      </w:r>
    </w:p>
    <w:p w14:paraId="204CD5B4" w14:textId="76F0F903"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c) </w:t>
      </w:r>
      <w:r w:rsidRPr="3D43DD34">
        <w:rPr>
          <w:rFonts w:ascii="Lato" w:eastAsia="Lato" w:hAnsi="Lato" w:cs="Lato"/>
          <w:color w:val="000000" w:themeColor="text1"/>
          <w:sz w:val="20"/>
          <w:szCs w:val="20"/>
          <w:u w:val="single"/>
        </w:rPr>
        <w:t>Late Payments</w:t>
      </w:r>
      <w:r w:rsidRPr="3D43DD34">
        <w:rPr>
          <w:rFonts w:ascii="Lato" w:eastAsia="Lato" w:hAnsi="Lato" w:cs="Lato"/>
          <w:color w:val="000000" w:themeColor="text1"/>
          <w:sz w:val="20"/>
          <w:szCs w:val="20"/>
        </w:rPr>
        <w:t>. After two consecutive, unsuccessful auto debit withdrawal attempts where auto debit is enabled, or in all other cases any time after the due date of the invoices and without limiting PrismHR´s other rights or remedies, PrismHR will apply the deposit to cover outstanding invoice balances and notify Customer. Customer will be required to replenish the deposit within 15 days of it being applied to cover the outstanding balance. Customer's failure to replenish the deposit constitutes a material breach of this Agreement. Further, if Customer fails to pay Fees when due and fail to replenish the deposit, PrismHR is authorized to cease processing payment of Assigned Employee payroll or Contractor payments and Customer agrees to be responsible for all further fees, penalties, interest or other costs incurred by PrismHR as a result of any delay in its receipt of funding. Any undisputed invoice not paid within 10 days of the due date will cause a 5% late payment penalty per month or the maximum allowed by law if lower.</w:t>
      </w:r>
    </w:p>
    <w:p w14:paraId="3895B64D" w14:textId="156371A8"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d) </w:t>
      </w:r>
      <w:r w:rsidRPr="3D43DD34">
        <w:rPr>
          <w:rFonts w:ascii="Lato" w:eastAsia="Lato" w:hAnsi="Lato" w:cs="Lato"/>
          <w:color w:val="000000" w:themeColor="text1"/>
          <w:sz w:val="20"/>
          <w:szCs w:val="20"/>
          <w:u w:val="single"/>
        </w:rPr>
        <w:t>Background Checks</w:t>
      </w:r>
      <w:r w:rsidRPr="3D43DD34">
        <w:rPr>
          <w:rFonts w:ascii="Lato" w:eastAsia="Lato" w:hAnsi="Lato" w:cs="Lato"/>
          <w:color w:val="000000" w:themeColor="text1"/>
          <w:sz w:val="20"/>
          <w:szCs w:val="20"/>
        </w:rPr>
        <w:t>. PrismHR shall conduct background checks on all Assigned Employees and Contractor of Record Contractors. It may also, if required by local law, conduct medical checks on the Assigned Employee. Unless otherwise stated in writing, the cost of a background check is $200.00 per Assigned Employee or Contractor of Record Contractor. The cost of a medical check varies by country and local requirements. The cost of any background check or legally required medical check shall be borne by the Customer. Upon Customer’s request and if permitted by applicable law, PrismHR will share applicable background and medical check information with Customer.</w:t>
      </w:r>
    </w:p>
    <w:p w14:paraId="73136C3A" w14:textId="4693A650"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e) </w:t>
      </w:r>
      <w:r w:rsidRPr="3D43DD34">
        <w:rPr>
          <w:rFonts w:ascii="Lato" w:eastAsia="Lato" w:hAnsi="Lato" w:cs="Lato"/>
          <w:color w:val="000000" w:themeColor="text1"/>
          <w:sz w:val="20"/>
          <w:szCs w:val="20"/>
          <w:u w:val="single"/>
        </w:rPr>
        <w:t>Currency</w:t>
      </w:r>
      <w:r w:rsidRPr="3D43DD34">
        <w:rPr>
          <w:rFonts w:ascii="Lato" w:eastAsia="Lato" w:hAnsi="Lato" w:cs="Lato"/>
          <w:color w:val="000000" w:themeColor="text1"/>
          <w:sz w:val="20"/>
          <w:szCs w:val="20"/>
        </w:rPr>
        <w:t>. Customer will pay the invoices in USD unless otherwise agreed in writing between the Parties. PrismHR pays Assigned Employees in their home country currency and pays Contractors as specified in their contract. When the currency PrismHR receives is different from the currency PrismHR is obligated to pay, PrismHR will exchange the currencies. PrismHR calculates the applicable exchange rate using rates from one or more currency exchange Customers. PrismHR´s rate is updated regularly but may not be identical to real time market rates. PrismHR may charge a foreign exchange fee up to 3% in addition to the Monthly Services Fee to account for the currency exchange cost.</w:t>
      </w:r>
    </w:p>
    <w:p w14:paraId="50D6AA48" w14:textId="722E1DA0"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f) </w:t>
      </w:r>
      <w:r w:rsidRPr="3D43DD34">
        <w:rPr>
          <w:rFonts w:ascii="Lato" w:eastAsia="Lato" w:hAnsi="Lato" w:cs="Lato"/>
          <w:color w:val="000000" w:themeColor="text1"/>
          <w:sz w:val="20"/>
          <w:szCs w:val="20"/>
          <w:u w:val="single"/>
        </w:rPr>
        <w:t>Transitions.</w:t>
      </w:r>
      <w:r w:rsidRPr="3D43DD34">
        <w:rPr>
          <w:rFonts w:ascii="Lato" w:eastAsia="Lato" w:hAnsi="Lato" w:cs="Lato"/>
          <w:color w:val="000000" w:themeColor="text1"/>
          <w:sz w:val="20"/>
          <w:szCs w:val="20"/>
        </w:rPr>
        <w:t xml:space="preserve"> When Customer request us to employ workers that are transitioning from another employer of record or similar agreement, PrismHR may be required to perform additional legal, compliance, operational, or administrative </w:t>
      </w:r>
      <w:r w:rsidRPr="3D43DD34">
        <w:rPr>
          <w:rFonts w:ascii="Lato" w:eastAsia="Lato" w:hAnsi="Lato" w:cs="Lato"/>
          <w:color w:val="000000" w:themeColor="text1"/>
          <w:sz w:val="20"/>
          <w:szCs w:val="20"/>
        </w:rPr>
        <w:lastRenderedPageBreak/>
        <w:t>work. Therefore, Customer  understands that PrismHR may impose additional onboarding requirements and fees in connection with such transitions. Any such fees or requirements shall be communicated to Customer in advance.</w:t>
      </w:r>
    </w:p>
    <w:p w14:paraId="098E8DF6" w14:textId="70D82E1D"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g) </w:t>
      </w:r>
      <w:r w:rsidRPr="3D43DD34">
        <w:rPr>
          <w:rFonts w:ascii="Lato" w:eastAsia="Lato" w:hAnsi="Lato" w:cs="Lato"/>
          <w:color w:val="000000" w:themeColor="text1"/>
          <w:sz w:val="20"/>
          <w:szCs w:val="20"/>
          <w:u w:val="single"/>
        </w:rPr>
        <w:t>Invoice Disputes</w:t>
      </w:r>
      <w:r w:rsidRPr="3D43DD34">
        <w:rPr>
          <w:rFonts w:ascii="Lato" w:eastAsia="Lato" w:hAnsi="Lato" w:cs="Lato"/>
          <w:color w:val="000000" w:themeColor="text1"/>
          <w:sz w:val="20"/>
          <w:szCs w:val="20"/>
        </w:rPr>
        <w:t>. If Customer disputes any invoice, or any portion thereof, Customer must notify PrismHR in writing within 5 days of receipt of the applicable invoice, specifying the charges disputed. Any undisputed charges are deemed approved, and PrismHR will direct debit all undisputed amounts where applicable. The Parties agree to negotiate in good faith and cooperate to quickly resolve any disputed portion of an invoice, and any agreement between the Parties in this regard will be final and binding.</w:t>
      </w:r>
    </w:p>
    <w:p w14:paraId="468BF71D" w14:textId="3737412C"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h) </w:t>
      </w:r>
      <w:r w:rsidRPr="3D43DD34">
        <w:rPr>
          <w:rFonts w:ascii="Lato" w:eastAsia="Lato" w:hAnsi="Lato" w:cs="Lato"/>
          <w:color w:val="000000" w:themeColor="text1"/>
          <w:sz w:val="20"/>
          <w:szCs w:val="20"/>
          <w:u w:val="single"/>
        </w:rPr>
        <w:t>Taxes</w:t>
      </w:r>
      <w:r w:rsidRPr="3D43DD34">
        <w:rPr>
          <w:rFonts w:ascii="Lato" w:eastAsia="Lato" w:hAnsi="Lato" w:cs="Lato"/>
          <w:color w:val="000000" w:themeColor="text1"/>
          <w:sz w:val="20"/>
          <w:szCs w:val="20"/>
        </w:rPr>
        <w:t>. Unless otherwise stated, PrismHR´s fees do not include any taxes, levies, duties or similar governmental assessments of any kind, including but not limited to value-added tax (“VAT”), sales, use, or withholding taxes assessable by any local, state, provincial, federal, or foreign jurisdiction (collectively, “Taxes”). Customer is responsible for paying all Taxes in connection with its use of the Services. This includes Taxes that PrismHR are legally required to pay or collect for Customer’s benefit as Employer of Record. PrismHR is solely responsible for taxes assessable against PrismHR based on its business.</w:t>
      </w:r>
    </w:p>
    <w:p w14:paraId="11C18268" w14:textId="1253EB49"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i)</w:t>
      </w:r>
      <w:r w:rsidRPr="3D43DD34">
        <w:rPr>
          <w:rFonts w:ascii="Lato" w:eastAsia="Lato" w:hAnsi="Lato" w:cs="Lato"/>
          <w:color w:val="000000" w:themeColor="text1"/>
          <w:sz w:val="20"/>
          <w:szCs w:val="20"/>
          <w:u w:val="single"/>
        </w:rPr>
        <w:t xml:space="preserve"> Deposit for Assigned Employees</w:t>
      </w:r>
      <w:r w:rsidRPr="3D43DD34">
        <w:rPr>
          <w:rFonts w:ascii="Lato" w:eastAsia="Lato" w:hAnsi="Lato" w:cs="Lato"/>
          <w:color w:val="000000" w:themeColor="text1"/>
          <w:sz w:val="20"/>
          <w:szCs w:val="20"/>
        </w:rPr>
        <w:t>.</w:t>
      </w:r>
    </w:p>
    <w:p w14:paraId="541BED0F" w14:textId="55C81448"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As a condition of the performance of Employer of Record Services, PrismHR requires a refundable deposit commensurate with, unless otherwise agreed in writing between the Parties, the equivalent of one month of the Assigned Employee's expected compensation, including any variable compensation, bonus or commissions, social benefits, and PrismHR’s Monthly Services Fees (the “Security Deposit”). PrismHR reserves the right to increase the Security Deposit amount for Assigned Employees located in jurisdictions with extended notice periods, high statutory severance requirements, or other specific local liabilities. The deposit amount shall be reflected in the applicable SOW. The deposit shall be held by PrismHR to guarantee performance of Customer's obligations under this Agreement. Such deposit amount may be adjusted from time to time to reflect the Assigned Employee's then-current compensation. If PrismHR must apply any part of the deposit to the payment of any invoice or other charges, Customer agrees to replenish the deposit within 15 days as a condition to PrismHR’s further performance of Services. Subject to the terms of this Agreement, any remaining balance of the deposit after termination of this Agreement, any applicable SOW, or any applicable Assigned Employee, shall be refunded within 30 days after the settlement of any outstanding invoices, severance requirements, all outstanding matters with third parties such as governments and benefits providers, and related Fees due to PrismHR. Deposits will bear no interest.</w:t>
      </w:r>
    </w:p>
    <w:p w14:paraId="72160AAF" w14:textId="27C664ED"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j) </w:t>
      </w:r>
      <w:r w:rsidRPr="3D43DD34">
        <w:rPr>
          <w:rFonts w:ascii="Lato" w:eastAsia="Lato" w:hAnsi="Lato" w:cs="Lato"/>
          <w:color w:val="000000" w:themeColor="text1"/>
          <w:sz w:val="20"/>
          <w:szCs w:val="20"/>
          <w:u w:val="single"/>
        </w:rPr>
        <w:t>Severance Accrual Deposit</w:t>
      </w:r>
      <w:r w:rsidRPr="3D43DD34">
        <w:rPr>
          <w:rFonts w:ascii="Lato" w:eastAsia="Lato" w:hAnsi="Lato" w:cs="Lato"/>
          <w:color w:val="000000" w:themeColor="text1"/>
          <w:sz w:val="20"/>
          <w:szCs w:val="20"/>
        </w:rPr>
        <w:t>. In addition to the Security Deposit, PrismHR shall collect a monthly severance accrual deposit (the “Severance Accrual Deposit”) to fund potential future termination costs. Unless otherwise determined by PrismHR, the standard accrual rate shall be 8.33% of the Assigned Employee’s total employment cost, including gross salary, statutory benefits, employer taxes, and other mandatory employment-related obligations required under applicable law. Such funds shall be held to offset severance or other termination costs upon termination of the applicable Assigned Employee’s employment. In the event of an Assigned Employee’s resignation where statutory severance is not legally required, the total balance of the accrued funds for such Assigned Employee shall be refunded within 30 days following final settlement of all employment-related liabilities.</w:t>
      </w:r>
    </w:p>
    <w:p w14:paraId="5B6A0134" w14:textId="0C4FD839"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 xml:space="preserve">8) INDEMNIFICATION. </w:t>
      </w:r>
    </w:p>
    <w:p w14:paraId="3D359284" w14:textId="2669463C"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In addition to any applicable indemnification provisions in the MSSA in favor of each party,  with regards to the Global Services, Customer expressly agrees to indemnify, defend, and hold harmless PrismHR from and against any and all claims, liabilities, damages, costs, or expenses (including reasonable attorneys’ fees) arising out of or related to: (a) Customer’s (or an End Customer’s) failure to provide accurate, complete, or timely information necessary for PrismHR to fulfill its obligations; (b) any misrepresentation or omission regarding the scope of work or tasks assigned to Assigned Employees; (c) disputes with Assigned Employees or Contractors that predate PrismHR’s involvement or were not disclosed; (d) Customer’s resale of, or representations to End Customers regarding, the Global Services; (e) </w:t>
      </w:r>
      <w:r w:rsidRPr="3D43DD34">
        <w:rPr>
          <w:rFonts w:ascii="Lato" w:eastAsia="Lato" w:hAnsi="Lato" w:cs="Lato"/>
          <w:color w:val="000000" w:themeColor="text1"/>
          <w:sz w:val="20"/>
          <w:szCs w:val="20"/>
        </w:rPr>
        <w:lastRenderedPageBreak/>
        <w:t>the actions or omissions of the Assigned Employees or Contractors; and (e) Customer’s failure to timely fund or pay amounts due under this Annex.</w:t>
      </w:r>
    </w:p>
    <w:p w14:paraId="23F0FE6D" w14:textId="4C089E75" w:rsidR="4188218F" w:rsidRDefault="4188218F" w:rsidP="3D43DD34">
      <w:pPr>
        <w:spacing w:line="264" w:lineRule="auto"/>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9)</w:t>
      </w:r>
      <w:r w:rsidRPr="3D43DD34">
        <w:rPr>
          <w:rFonts w:ascii="Lato" w:eastAsia="Lato" w:hAnsi="Lato" w:cs="Lato"/>
          <w:color w:val="000000" w:themeColor="text1"/>
          <w:sz w:val="20"/>
          <w:szCs w:val="20"/>
        </w:rPr>
        <w:t xml:space="preserve"> </w:t>
      </w:r>
      <w:r w:rsidRPr="3D43DD34">
        <w:rPr>
          <w:rFonts w:ascii="Lato" w:eastAsia="Lato" w:hAnsi="Lato" w:cs="Lato"/>
          <w:b/>
          <w:bCs/>
          <w:color w:val="000000" w:themeColor="text1"/>
          <w:sz w:val="20"/>
          <w:szCs w:val="20"/>
        </w:rPr>
        <w:t>TERM AND TERMINATION.</w:t>
      </w:r>
    </w:p>
    <w:p w14:paraId="708ED5A5" w14:textId="31F69478"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This Annex is effective as of the Annex Effective Date and, unless earlier terminated, continues for so long as the MSSA remains in effect (the “Term”). This Annex may be terminated independently of the MSSA, and termination of this Annex will not, by itself, terminate the MSSA. Termination or expiration of the MSSA automatically terminates this Annex. </w:t>
      </w:r>
    </w:p>
    <w:p w14:paraId="0BE94704" w14:textId="5833F178"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Either Party may terminate this Annex for any or no reason upon (60) days’ prior written notice. Additionally, either Party may terminate this Annex immediately upon written notice if the other Party materially breaches and fails to cure within thirty (30) days after written notice. PrismHR may terminate this Annex or any Service Order immediately upon Customer’s failure to pay past-due amounts, or upon Customer’s insolvency or bankruptcy. </w:t>
      </w:r>
    </w:p>
    <w:p w14:paraId="3B72BD6F" w14:textId="3A241C39"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Upon termination or expiration, PrismHR’s obligation to provide the Global Services ceases as of the effective date, except that PrismHR will continue to provide Global Services with respect to then-current Assigned Employees for so long as is necessary to terminate or transition their employment in compliance with applicable law, and this Annex continues in effect with respect to such Assigned Employees until their employment or engagement ends. Customer remains responsible for all outstanding invoices, accrued fees, Transition Costs, Offboarding Fees, and other amounts due, all of which survive termination. Provisions that by their nature should survive termination will survive.</w:t>
      </w:r>
    </w:p>
    <w:p w14:paraId="427899C2" w14:textId="3C1F2A3C"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10)</w:t>
      </w:r>
      <w:r w:rsidRPr="3D43DD34">
        <w:rPr>
          <w:rFonts w:ascii="Lato" w:eastAsia="Lato" w:hAnsi="Lato" w:cs="Lato"/>
          <w:color w:val="000000" w:themeColor="text1"/>
          <w:sz w:val="20"/>
          <w:szCs w:val="20"/>
        </w:rPr>
        <w:t xml:space="preserve"> </w:t>
      </w:r>
      <w:r w:rsidRPr="3D43DD34">
        <w:rPr>
          <w:rFonts w:ascii="Lato" w:eastAsia="Lato" w:hAnsi="Lato" w:cs="Lato"/>
          <w:b/>
          <w:bCs/>
          <w:color w:val="000000" w:themeColor="text1"/>
          <w:sz w:val="20"/>
          <w:szCs w:val="20"/>
        </w:rPr>
        <w:t>COUNTRY-SPECIFIC REQUIREMENTS AND LIMITATIONS</w:t>
      </w:r>
    </w:p>
    <w:p w14:paraId="0BDD20F6" w14:textId="3AA6FA9F"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Customer acknowledges that the Services may be subject to country-specific legal, regulatory, licensing, labor, immigration, tax, and operational requirements, restrictions, or limitations. Depending on the jurisdiction, such requirements may include, without limitation, restrictions on the assignment or secondment of personnel, maximum assignment durations, equal treatment obligations, registration or licensing requirements, employee leasing limitations, notice obligations, collective bargaining requirements, work authorization requirements, and other conditions applicable to the provision of the Global Services.</w:t>
      </w:r>
    </w:p>
    <w:p w14:paraId="1A2453F7" w14:textId="1152B5D1"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Upon Customer’s request and prior to the commencement of services in a particular jurisdiction, PrismHR shall make commercially reasonable efforts to provide Customer with information regarding any material country-specific requirements or limitations known to PrismHR at that time. Customer acknowledges, however, that applicable laws and regulatory interpretations may change and that such information is provided for general guidance purposes only.</w:t>
      </w:r>
    </w:p>
    <w:p w14:paraId="513FE630" w14:textId="78041E62"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Customer shall be solely responsible for communicating any applicable country-specific requirements, restrictions, limitations, obligations, or operational considerations to its End Customers and for ensuring that its End Customers comply with any requirements applicable to their use of the Global Services. </w:t>
      </w:r>
    </w:p>
    <w:p w14:paraId="608639F2" w14:textId="49CE0A71"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b/>
          <w:bCs/>
          <w:color w:val="000000" w:themeColor="text1"/>
          <w:sz w:val="20"/>
          <w:szCs w:val="20"/>
        </w:rPr>
        <w:t>11)</w:t>
      </w:r>
      <w:r w:rsidRPr="3D43DD34">
        <w:rPr>
          <w:rFonts w:ascii="Lato" w:eastAsia="Lato" w:hAnsi="Lato" w:cs="Lato"/>
          <w:color w:val="000000" w:themeColor="text1"/>
          <w:sz w:val="20"/>
          <w:szCs w:val="20"/>
        </w:rPr>
        <w:t xml:space="preserve"> </w:t>
      </w:r>
      <w:r w:rsidRPr="3D43DD34">
        <w:rPr>
          <w:rFonts w:ascii="Lato" w:eastAsia="Lato" w:hAnsi="Lato" w:cs="Lato"/>
          <w:b/>
          <w:bCs/>
          <w:color w:val="000000" w:themeColor="text1"/>
          <w:sz w:val="20"/>
          <w:szCs w:val="20"/>
        </w:rPr>
        <w:t xml:space="preserve">ORDER OF PRECEDENCE. </w:t>
      </w:r>
      <w:r w:rsidRPr="3D43DD34">
        <w:rPr>
          <w:rFonts w:ascii="Lato" w:eastAsia="Lato" w:hAnsi="Lato" w:cs="Lato"/>
          <w:color w:val="000000" w:themeColor="text1"/>
          <w:sz w:val="20"/>
          <w:szCs w:val="20"/>
        </w:rPr>
        <w:t>This Annex is incorporated into and forms part of the MSSA. Except as expressly modified by this Annex, the terms of the MSSA apply to this Annex and the Global Services. In the event of any conflict or inconsistency between this Annex (including its Annexes) and the body of the MSSA or any other Exhibit with respect to the Global Services, this Annex controls.</w:t>
      </w:r>
    </w:p>
    <w:p w14:paraId="5EB264E5" w14:textId="44954EA4"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12) </w:t>
      </w:r>
      <w:r w:rsidRPr="3D43DD34">
        <w:rPr>
          <w:rFonts w:ascii="Lato" w:eastAsia="Lato" w:hAnsi="Lato" w:cs="Lato"/>
          <w:b/>
          <w:bCs/>
          <w:color w:val="000000" w:themeColor="text1"/>
          <w:sz w:val="20"/>
          <w:szCs w:val="20"/>
        </w:rPr>
        <w:t>TEMPLATE END CUSTOMER AGREEMENT.</w:t>
      </w:r>
      <w:r w:rsidRPr="3D43DD34">
        <w:rPr>
          <w:rFonts w:ascii="Lato" w:eastAsia="Lato" w:hAnsi="Lato" w:cs="Lato"/>
          <w:color w:val="000000" w:themeColor="text1"/>
          <w:sz w:val="20"/>
          <w:szCs w:val="20"/>
        </w:rPr>
        <w:t>  PrismHR may make available to Customer a template agreement or other sample documentation that Customer may elect, in its sole discretion, to use, modify, or disregard in connection with its relationships with End Customers. Any such template or sample documentation is provided solely as a convenience to assist Customer in implementing the Global Services and does not constitute legal advice.</w:t>
      </w:r>
    </w:p>
    <w:p w14:paraId="2AC2DD13" w14:textId="1DCB5E02"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Customer acknowledges that PrismHR is not acting as Customer’s legal counsel and does not represent Customer or any End Customer. PrismHR makes no representation or warranty with respect to the agreements. Customer is solely responsible for determining the suitability of any such template, making any modifications it deems appropriate, </w:t>
      </w:r>
      <w:r w:rsidRPr="3D43DD34">
        <w:rPr>
          <w:rFonts w:ascii="Lato" w:eastAsia="Lato" w:hAnsi="Lato" w:cs="Lato"/>
          <w:color w:val="000000" w:themeColor="text1"/>
          <w:sz w:val="20"/>
          <w:szCs w:val="20"/>
        </w:rPr>
        <w:lastRenderedPageBreak/>
        <w:t>obtaining independent legal advice, and ensuring that its agreements with End Customers adequately protect Customer’s interests.</w:t>
      </w:r>
    </w:p>
    <w:p w14:paraId="0A56C1E9" w14:textId="16A6759F"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PrismHR shall have no responsibility or liability whatsoever arising out of or relating to Customer’s use, modification, non-use, or reliance upon any template agreement or sample documentation provided by PrismHR.</w:t>
      </w:r>
    </w:p>
    <w:p w14:paraId="6306A278" w14:textId="49253EE6" w:rsidR="4188218F" w:rsidRDefault="4188218F" w:rsidP="3D43DD34">
      <w:pPr>
        <w:spacing w:after="140" w:line="264" w:lineRule="auto"/>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 </w:t>
      </w:r>
    </w:p>
    <w:p w14:paraId="237195AB" w14:textId="34622252" w:rsidR="3D43DD34" w:rsidRDefault="3D43DD34" w:rsidP="3D43DD34">
      <w:pPr>
        <w:rPr>
          <w:rFonts w:ascii="Lato" w:eastAsia="Lato" w:hAnsi="Lato" w:cs="Lato"/>
        </w:rPr>
      </w:pPr>
      <w:r w:rsidRPr="3D43DD34">
        <w:rPr>
          <w:rFonts w:ascii="Lato" w:eastAsia="Lato" w:hAnsi="Lato" w:cs="Lato"/>
        </w:rPr>
        <w:br w:type="page"/>
      </w:r>
    </w:p>
    <w:p w14:paraId="77B89C1C" w14:textId="7DC06A3B" w:rsidR="4188218F" w:rsidRDefault="4188218F" w:rsidP="3D43DD34">
      <w:pPr>
        <w:pStyle w:val="Heading2"/>
        <w:spacing w:before="1" w:line="241" w:lineRule="exact"/>
        <w:ind w:left="621"/>
        <w:jc w:val="center"/>
        <w:rPr>
          <w:rFonts w:ascii="Lato" w:eastAsia="Lato" w:hAnsi="Lato" w:cs="Lato"/>
          <w:b/>
          <w:bCs/>
          <w:color w:val="000000" w:themeColor="text1"/>
          <w:sz w:val="20"/>
          <w:szCs w:val="20"/>
        </w:rPr>
      </w:pPr>
      <w:r w:rsidRPr="3D43DD34">
        <w:rPr>
          <w:rFonts w:ascii="Lato" w:eastAsia="Lato" w:hAnsi="Lato" w:cs="Lato"/>
          <w:b/>
          <w:bCs/>
          <w:color w:val="000000" w:themeColor="text1"/>
          <w:sz w:val="20"/>
          <w:szCs w:val="20"/>
          <w:u w:val="single"/>
        </w:rPr>
        <w:lastRenderedPageBreak/>
        <w:t>GLOBAL SERVICES PRICING SCHEDULE</w:t>
      </w:r>
    </w:p>
    <w:p w14:paraId="08078885" w14:textId="19EC6FEF" w:rsidR="3D43DD34" w:rsidRDefault="3D43DD34" w:rsidP="3D43DD34">
      <w:pPr>
        <w:spacing w:before="1" w:line="240" w:lineRule="auto"/>
        <w:ind w:left="621"/>
        <w:jc w:val="center"/>
        <w:rPr>
          <w:rFonts w:ascii="Lato" w:eastAsia="Lato" w:hAnsi="Lato" w:cs="Lato"/>
          <w:b/>
          <w:bCs/>
          <w:color w:val="000000" w:themeColor="text1"/>
          <w:sz w:val="20"/>
          <w:szCs w:val="20"/>
        </w:rPr>
      </w:pPr>
    </w:p>
    <w:p w14:paraId="033999F9" w14:textId="1CDFAA08" w:rsidR="4188218F" w:rsidRDefault="4188218F" w:rsidP="3D43DD34">
      <w:pPr>
        <w:pStyle w:val="BodyText"/>
        <w:numPr>
          <w:ilvl w:val="0"/>
          <w:numId w:val="1"/>
        </w:numPr>
        <w:spacing w:before="118"/>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General. </w:t>
      </w:r>
    </w:p>
    <w:p w14:paraId="0A1AD427" w14:textId="514E37AE" w:rsidR="3D43DD34" w:rsidRDefault="3D43DD34" w:rsidP="3D43DD34">
      <w:pPr>
        <w:spacing w:before="118"/>
        <w:ind w:left="720"/>
        <w:rPr>
          <w:rFonts w:ascii="Lato" w:eastAsia="Lato" w:hAnsi="Lato" w:cs="Lato"/>
          <w:color w:val="000000" w:themeColor="text1"/>
          <w:sz w:val="20"/>
          <w:szCs w:val="20"/>
        </w:rPr>
      </w:pPr>
    </w:p>
    <w:p w14:paraId="006F024F" w14:textId="34441871" w:rsidR="4188218F" w:rsidRDefault="4188218F" w:rsidP="3D43DD34">
      <w:pPr>
        <w:spacing w:after="140" w:line="264" w:lineRule="auto"/>
        <w:ind w:left="360"/>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The wholesale pricing set forth below represents the fees payable by Customer to PrismHR for the applicable services. All pricing is stated in U.S. Dollars (USD) and, unless otherwise specified, all prices are PEPM (per Employee/Contractor, Per Month). Any deviation from this schedule shall be at PrismHR’s sole discretion and agreed in writing on a case-by-case basis.</w:t>
      </w:r>
    </w:p>
    <w:p w14:paraId="2BBC5139" w14:textId="08536E2D" w:rsidR="4188218F" w:rsidRDefault="4188218F" w:rsidP="3D43DD34">
      <w:pPr>
        <w:spacing w:after="140" w:line="264" w:lineRule="auto"/>
        <w:ind w:left="360"/>
        <w:jc w:val="both"/>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The suggested markup is provided solely as a recommendation. Customer shall have sole discretion to determine the fees that it charges its End Customers. </w:t>
      </w:r>
    </w:p>
    <w:p w14:paraId="020ADFF6" w14:textId="24CA5C92" w:rsidR="3D43DD34" w:rsidRDefault="3D43DD34" w:rsidP="3D43DD34">
      <w:pPr>
        <w:spacing w:after="140" w:line="264" w:lineRule="auto"/>
        <w:ind w:left="360"/>
        <w:jc w:val="both"/>
        <w:rPr>
          <w:rFonts w:ascii="Lato" w:eastAsia="Lato" w:hAnsi="Lato" w:cs="Lato"/>
          <w:color w:val="000000" w:themeColor="text1"/>
          <w:sz w:val="20"/>
          <w:szCs w:val="20"/>
        </w:rPr>
      </w:pPr>
    </w:p>
    <w:p w14:paraId="4D1494C7" w14:textId="1CB43B9A" w:rsidR="4188218F" w:rsidRDefault="4188218F" w:rsidP="3D43DD34">
      <w:pPr>
        <w:pStyle w:val="BodyText"/>
        <w:numPr>
          <w:ilvl w:val="0"/>
          <w:numId w:val="1"/>
        </w:numPr>
        <w:spacing w:before="118"/>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Employer of Record. </w:t>
      </w:r>
    </w:p>
    <w:p w14:paraId="7D4D2124" w14:textId="4179B86E" w:rsidR="3D43DD34" w:rsidRDefault="3D43DD34" w:rsidP="3D43DD34">
      <w:pPr>
        <w:spacing w:before="118"/>
        <w:ind w:left="720"/>
        <w:rPr>
          <w:rFonts w:ascii="Lato" w:eastAsia="Lato" w:hAnsi="Lato" w:cs="Lato"/>
          <w:color w:val="000000" w:themeColor="text1"/>
          <w:sz w:val="20"/>
          <w:szCs w:val="20"/>
        </w:rPr>
      </w:pPr>
    </w:p>
    <w:tbl>
      <w:tblPr>
        <w:tblW w:w="0" w:type="auto"/>
        <w:tblInd w:w="63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3142"/>
        <w:gridCol w:w="3143"/>
        <w:gridCol w:w="3149"/>
      </w:tblGrid>
      <w:tr w:rsidR="3D43DD34" w14:paraId="76C731B1" w14:textId="77777777" w:rsidTr="3D43DD34">
        <w:trPr>
          <w:trHeight w:val="345"/>
        </w:trPr>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D2841"/>
          </w:tcPr>
          <w:p w14:paraId="517BB86A" w14:textId="7E99C6EA" w:rsidR="3D43DD34" w:rsidRDefault="3D43DD34" w:rsidP="3D43DD34">
            <w:pPr>
              <w:pStyle w:val="TableParagraph"/>
              <w:spacing w:before="129"/>
              <w:ind w:left="26"/>
              <w:rPr>
                <w:rFonts w:ascii="Lato" w:eastAsia="Lato" w:hAnsi="Lato" w:cs="Lato"/>
                <w:color w:val="FFFFFF" w:themeColor="background1"/>
                <w:sz w:val="18"/>
                <w:szCs w:val="18"/>
              </w:rPr>
            </w:pPr>
            <w:r w:rsidRPr="3D43DD34">
              <w:rPr>
                <w:rFonts w:ascii="Lato" w:eastAsia="Lato" w:hAnsi="Lato" w:cs="Lato"/>
                <w:b/>
                <w:bCs/>
                <w:color w:val="FFFFFF" w:themeColor="background1"/>
                <w:sz w:val="18"/>
                <w:szCs w:val="18"/>
              </w:rPr>
              <w:t>Tier</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D2841"/>
          </w:tcPr>
          <w:p w14:paraId="24E8369B" w14:textId="5DBF5B45" w:rsidR="3D43DD34" w:rsidRDefault="3D43DD34" w:rsidP="3D43DD34">
            <w:pPr>
              <w:pStyle w:val="TableParagraph"/>
              <w:spacing w:before="129"/>
              <w:ind w:left="26"/>
              <w:rPr>
                <w:rFonts w:ascii="Lato" w:eastAsia="Lato" w:hAnsi="Lato" w:cs="Lato"/>
                <w:color w:val="FFFFFF" w:themeColor="background1"/>
                <w:sz w:val="18"/>
                <w:szCs w:val="18"/>
              </w:rPr>
            </w:pPr>
            <w:r w:rsidRPr="3D43DD34">
              <w:rPr>
                <w:rFonts w:ascii="Lato" w:eastAsia="Lato" w:hAnsi="Lato" w:cs="Lato"/>
                <w:b/>
                <w:bCs/>
                <w:color w:val="FFFFFF" w:themeColor="background1"/>
                <w:sz w:val="18"/>
                <w:szCs w:val="18"/>
              </w:rPr>
              <w:t>Wholesale Price</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D2841"/>
          </w:tcPr>
          <w:p w14:paraId="20B531C4" w14:textId="035D5489" w:rsidR="3D43DD34" w:rsidRDefault="3D43DD34" w:rsidP="3D43DD34">
            <w:pPr>
              <w:pStyle w:val="TableParagraph"/>
              <w:spacing w:before="129"/>
              <w:ind w:left="26"/>
              <w:rPr>
                <w:rFonts w:ascii="Lato" w:eastAsia="Lato" w:hAnsi="Lato" w:cs="Lato"/>
                <w:color w:val="FFFFFF" w:themeColor="background1"/>
                <w:sz w:val="18"/>
                <w:szCs w:val="18"/>
              </w:rPr>
            </w:pPr>
            <w:r w:rsidRPr="3D43DD34">
              <w:rPr>
                <w:rFonts w:ascii="Lato" w:eastAsia="Lato" w:hAnsi="Lato" w:cs="Lato"/>
                <w:b/>
                <w:bCs/>
                <w:color w:val="FFFFFF" w:themeColor="background1"/>
                <w:sz w:val="18"/>
                <w:szCs w:val="18"/>
              </w:rPr>
              <w:t>Recommended Markup</w:t>
            </w:r>
          </w:p>
        </w:tc>
      </w:tr>
      <w:tr w:rsidR="3D43DD34" w14:paraId="7A257F7E" w14:textId="77777777" w:rsidTr="3D43DD34">
        <w:trPr>
          <w:trHeight w:val="330"/>
        </w:trPr>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96B9B6" w14:textId="7BD17127"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Tier 1 Countries</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B12C81" w14:textId="005DC59B"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$350.00 PEPM</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2861D7" w14:textId="396C590E"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$150.00 PEPM</w:t>
            </w:r>
          </w:p>
        </w:tc>
      </w:tr>
      <w:tr w:rsidR="3D43DD34" w14:paraId="1B563B56" w14:textId="77777777" w:rsidTr="3D43DD34">
        <w:trPr>
          <w:trHeight w:val="345"/>
        </w:trPr>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9616C2" w14:textId="126A0E46" w:rsidR="3D43DD34" w:rsidRDefault="3D43DD34" w:rsidP="3D43DD34">
            <w:pPr>
              <w:pStyle w:val="TableParagraph"/>
              <w:spacing w:before="124"/>
              <w:ind w:left="26"/>
              <w:rPr>
                <w:rFonts w:ascii="Lato" w:eastAsia="Lato" w:hAnsi="Lato" w:cs="Lato"/>
                <w:sz w:val="18"/>
                <w:szCs w:val="18"/>
              </w:rPr>
            </w:pPr>
            <w:r w:rsidRPr="3D43DD34">
              <w:rPr>
                <w:rFonts w:ascii="Lato" w:eastAsia="Lato" w:hAnsi="Lato" w:cs="Lato"/>
                <w:sz w:val="18"/>
                <w:szCs w:val="18"/>
                <w:lang w:val="es-AR"/>
              </w:rPr>
              <w:t xml:space="preserve">Tier 2 </w:t>
            </w:r>
            <w:r w:rsidRPr="3D43DD34">
              <w:rPr>
                <w:rFonts w:ascii="Lato" w:eastAsia="Lato" w:hAnsi="Lato" w:cs="Lato"/>
                <w:sz w:val="18"/>
                <w:szCs w:val="18"/>
              </w:rPr>
              <w:t>Countries</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5F495C" w14:textId="5B788181" w:rsidR="3D43DD34" w:rsidRDefault="3D43DD34" w:rsidP="3D43DD34">
            <w:pPr>
              <w:pStyle w:val="TableParagraph"/>
              <w:spacing w:before="124"/>
              <w:ind w:left="26"/>
              <w:rPr>
                <w:rFonts w:ascii="Lato" w:eastAsia="Lato" w:hAnsi="Lato" w:cs="Lato"/>
                <w:sz w:val="18"/>
                <w:szCs w:val="18"/>
              </w:rPr>
            </w:pPr>
            <w:r w:rsidRPr="3D43DD34">
              <w:rPr>
                <w:rFonts w:ascii="Lato" w:eastAsia="Lato" w:hAnsi="Lato" w:cs="Lato"/>
                <w:sz w:val="18"/>
                <w:szCs w:val="18"/>
              </w:rPr>
              <w:t>$385.00 PEPM</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A00495" w14:textId="3AA45A87" w:rsidR="3D43DD34" w:rsidRDefault="3D43DD34" w:rsidP="3D43DD34">
            <w:pPr>
              <w:pStyle w:val="TableParagraph"/>
              <w:spacing w:before="124"/>
              <w:ind w:left="26"/>
              <w:rPr>
                <w:rFonts w:ascii="Lato" w:eastAsia="Lato" w:hAnsi="Lato" w:cs="Lato"/>
                <w:sz w:val="18"/>
                <w:szCs w:val="18"/>
              </w:rPr>
            </w:pPr>
            <w:r w:rsidRPr="3D43DD34">
              <w:rPr>
                <w:rFonts w:ascii="Lato" w:eastAsia="Lato" w:hAnsi="Lato" w:cs="Lato"/>
                <w:sz w:val="18"/>
                <w:szCs w:val="18"/>
              </w:rPr>
              <w:t>$165.00 PEPM</w:t>
            </w:r>
          </w:p>
        </w:tc>
      </w:tr>
      <w:tr w:rsidR="3D43DD34" w14:paraId="61B93EE8" w14:textId="77777777" w:rsidTr="3D43DD34">
        <w:trPr>
          <w:trHeight w:val="345"/>
        </w:trPr>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0ECB5F" w14:textId="0FE2622B" w:rsidR="3D43DD34" w:rsidRDefault="3D43DD34" w:rsidP="3D43DD34">
            <w:pPr>
              <w:pStyle w:val="TableParagraph"/>
              <w:spacing w:before="124"/>
              <w:ind w:left="26"/>
              <w:rPr>
                <w:rFonts w:ascii="Lato" w:eastAsia="Lato" w:hAnsi="Lato" w:cs="Lato"/>
                <w:sz w:val="18"/>
                <w:szCs w:val="18"/>
              </w:rPr>
            </w:pPr>
            <w:r w:rsidRPr="3D43DD34">
              <w:rPr>
                <w:rFonts w:ascii="Lato" w:eastAsia="Lato" w:hAnsi="Lato" w:cs="Lato"/>
                <w:sz w:val="18"/>
                <w:szCs w:val="18"/>
                <w:lang w:val="es-AR"/>
              </w:rPr>
              <w:t xml:space="preserve">Tier 3 </w:t>
            </w:r>
            <w:r w:rsidRPr="3D43DD34">
              <w:rPr>
                <w:rFonts w:ascii="Lato" w:eastAsia="Lato" w:hAnsi="Lato" w:cs="Lato"/>
                <w:sz w:val="18"/>
                <w:szCs w:val="18"/>
              </w:rPr>
              <w:t>Countries</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5ED0CC" w14:textId="602DABA5" w:rsidR="3D43DD34" w:rsidRDefault="3D43DD34" w:rsidP="3D43DD34">
            <w:pPr>
              <w:pStyle w:val="TableParagraph"/>
              <w:spacing w:before="124"/>
              <w:ind w:left="26"/>
              <w:rPr>
                <w:rFonts w:ascii="Lato" w:eastAsia="Lato" w:hAnsi="Lato" w:cs="Lato"/>
                <w:sz w:val="18"/>
                <w:szCs w:val="18"/>
              </w:rPr>
            </w:pPr>
            <w:r w:rsidRPr="3D43DD34">
              <w:rPr>
                <w:rFonts w:ascii="Lato" w:eastAsia="Lato" w:hAnsi="Lato" w:cs="Lato"/>
                <w:sz w:val="18"/>
                <w:szCs w:val="18"/>
              </w:rPr>
              <w:t>$455.00 PEPM</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CD4E71" w14:textId="03BF28BE" w:rsidR="3D43DD34" w:rsidRDefault="3D43DD34" w:rsidP="3D43DD34">
            <w:pPr>
              <w:pStyle w:val="TableParagraph"/>
              <w:spacing w:before="124"/>
              <w:ind w:left="26"/>
              <w:rPr>
                <w:rFonts w:ascii="Lato" w:eastAsia="Lato" w:hAnsi="Lato" w:cs="Lato"/>
                <w:sz w:val="18"/>
                <w:szCs w:val="18"/>
              </w:rPr>
            </w:pPr>
            <w:r w:rsidRPr="3D43DD34">
              <w:rPr>
                <w:rFonts w:ascii="Lato" w:eastAsia="Lato" w:hAnsi="Lato" w:cs="Lato"/>
                <w:sz w:val="18"/>
                <w:szCs w:val="18"/>
              </w:rPr>
              <w:t>$195.00 PEPM</w:t>
            </w:r>
          </w:p>
        </w:tc>
      </w:tr>
    </w:tbl>
    <w:p w14:paraId="17595C6C" w14:textId="405C6E0A" w:rsidR="3D43DD34" w:rsidRDefault="3D43DD34" w:rsidP="3D43DD34">
      <w:pPr>
        <w:spacing w:before="124"/>
        <w:ind w:left="26"/>
        <w:rPr>
          <w:rFonts w:ascii="Lato" w:eastAsia="Lato" w:hAnsi="Lato" w:cs="Lato"/>
          <w:color w:val="000000" w:themeColor="text1"/>
          <w:sz w:val="18"/>
          <w:szCs w:val="18"/>
        </w:rPr>
      </w:pPr>
    </w:p>
    <w:p w14:paraId="4AD5875C" w14:textId="7CFE7DE8" w:rsidR="4188218F" w:rsidRDefault="4188218F" w:rsidP="3D43DD34">
      <w:pPr>
        <w:pStyle w:val="ListParagraph"/>
        <w:numPr>
          <w:ilvl w:val="0"/>
          <w:numId w:val="1"/>
        </w:numPr>
        <w:tabs>
          <w:tab w:val="left" w:pos="1480"/>
        </w:tabs>
        <w:rPr>
          <w:rFonts w:ascii="Lato" w:eastAsia="Lato" w:hAnsi="Lato" w:cs="Lato"/>
          <w:color w:val="000000" w:themeColor="text1"/>
          <w:sz w:val="18"/>
          <w:szCs w:val="18"/>
        </w:rPr>
      </w:pPr>
      <w:r w:rsidRPr="3D43DD34">
        <w:rPr>
          <w:rFonts w:ascii="Lato" w:eastAsia="Lato" w:hAnsi="Lato" w:cs="Lato"/>
          <w:color w:val="000000" w:themeColor="text1"/>
          <w:sz w:val="18"/>
          <w:szCs w:val="18"/>
        </w:rPr>
        <w:t xml:space="preserve">Contractor and Contractor of Record. </w:t>
      </w:r>
    </w:p>
    <w:p w14:paraId="378E8252" w14:textId="13278052" w:rsidR="3D43DD34" w:rsidRDefault="3D43DD34" w:rsidP="3D43DD34">
      <w:pPr>
        <w:tabs>
          <w:tab w:val="left" w:pos="1480"/>
        </w:tabs>
        <w:ind w:left="720"/>
        <w:rPr>
          <w:rFonts w:ascii="Lato" w:eastAsia="Lato" w:hAnsi="Lato" w:cs="Lato"/>
          <w:color w:val="000000" w:themeColor="text1"/>
          <w:sz w:val="18"/>
          <w:szCs w:val="18"/>
        </w:rPr>
      </w:pPr>
    </w:p>
    <w:p w14:paraId="197C21C6" w14:textId="5A6774DC" w:rsidR="4188218F" w:rsidRDefault="4188218F" w:rsidP="3D43DD34">
      <w:pPr>
        <w:tabs>
          <w:tab w:val="left" w:pos="1480"/>
        </w:tabs>
        <w:ind w:left="720"/>
        <w:rPr>
          <w:rFonts w:ascii="Lato" w:eastAsia="Lato" w:hAnsi="Lato" w:cs="Lato"/>
          <w:color w:val="000000" w:themeColor="text1"/>
          <w:sz w:val="18"/>
          <w:szCs w:val="18"/>
        </w:rPr>
      </w:pPr>
      <w:r w:rsidRPr="3D43DD34">
        <w:rPr>
          <w:rFonts w:ascii="Lato" w:eastAsia="Lato" w:hAnsi="Lato" w:cs="Lato"/>
          <w:color w:val="000000" w:themeColor="text1"/>
          <w:sz w:val="18"/>
          <w:szCs w:val="18"/>
        </w:rPr>
        <w:t>Unless stated otherwise, Contractor and Contractor of record services are charged at a uniform rate regardless of country.</w:t>
      </w:r>
    </w:p>
    <w:p w14:paraId="2A3B3109" w14:textId="14230633" w:rsidR="3D43DD34" w:rsidRDefault="3D43DD34" w:rsidP="3D43DD34">
      <w:pPr>
        <w:tabs>
          <w:tab w:val="left" w:pos="1480"/>
        </w:tabs>
        <w:spacing w:after="140" w:line="264" w:lineRule="auto"/>
        <w:ind w:left="360"/>
        <w:jc w:val="both"/>
        <w:rPr>
          <w:rFonts w:ascii="Lato" w:eastAsia="Lato" w:hAnsi="Lato" w:cs="Lato"/>
          <w:color w:val="000000" w:themeColor="text1"/>
          <w:sz w:val="22"/>
          <w:szCs w:val="22"/>
        </w:rPr>
      </w:pPr>
    </w:p>
    <w:tbl>
      <w:tblPr>
        <w:tblW w:w="0" w:type="auto"/>
        <w:tblInd w:w="63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3143"/>
        <w:gridCol w:w="3142"/>
        <w:gridCol w:w="3149"/>
      </w:tblGrid>
      <w:tr w:rsidR="3D43DD34" w14:paraId="5B3B1E76" w14:textId="77777777" w:rsidTr="3D43DD34">
        <w:trPr>
          <w:trHeight w:val="345"/>
        </w:trPr>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D2841"/>
          </w:tcPr>
          <w:p w14:paraId="23BF27BF" w14:textId="787D7B92" w:rsidR="3D43DD34" w:rsidRDefault="3D43DD34" w:rsidP="3D43DD34">
            <w:pPr>
              <w:pStyle w:val="TableParagraph"/>
              <w:spacing w:before="129"/>
              <w:ind w:left="26"/>
              <w:rPr>
                <w:rFonts w:ascii="Lato" w:eastAsia="Lato" w:hAnsi="Lato" w:cs="Lato"/>
                <w:color w:val="FFFFFF" w:themeColor="background1"/>
                <w:sz w:val="18"/>
                <w:szCs w:val="18"/>
              </w:rPr>
            </w:pPr>
            <w:r w:rsidRPr="3D43DD34">
              <w:rPr>
                <w:rFonts w:ascii="Lato" w:eastAsia="Lato" w:hAnsi="Lato" w:cs="Lato"/>
                <w:b/>
                <w:bCs/>
                <w:color w:val="FFFFFF" w:themeColor="background1"/>
                <w:sz w:val="18"/>
                <w:szCs w:val="18"/>
              </w:rPr>
              <w:t>Service</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D2841"/>
          </w:tcPr>
          <w:p w14:paraId="1BF24EC5" w14:textId="10EF7F17" w:rsidR="3D43DD34" w:rsidRDefault="3D43DD34" w:rsidP="3D43DD34">
            <w:pPr>
              <w:pStyle w:val="TableParagraph"/>
              <w:spacing w:before="129"/>
              <w:ind w:left="26"/>
              <w:rPr>
                <w:rFonts w:ascii="Lato" w:eastAsia="Lato" w:hAnsi="Lato" w:cs="Lato"/>
                <w:color w:val="FFFFFF" w:themeColor="background1"/>
                <w:sz w:val="18"/>
                <w:szCs w:val="18"/>
              </w:rPr>
            </w:pPr>
            <w:r w:rsidRPr="3D43DD34">
              <w:rPr>
                <w:rFonts w:ascii="Lato" w:eastAsia="Lato" w:hAnsi="Lato" w:cs="Lato"/>
                <w:b/>
                <w:bCs/>
                <w:color w:val="FFFFFF" w:themeColor="background1"/>
                <w:sz w:val="18"/>
                <w:szCs w:val="18"/>
              </w:rPr>
              <w:t>Wholesale Price</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D2841"/>
          </w:tcPr>
          <w:p w14:paraId="3034F129" w14:textId="40CDCB16" w:rsidR="3D43DD34" w:rsidRDefault="3D43DD34" w:rsidP="3D43DD34">
            <w:pPr>
              <w:pStyle w:val="TableParagraph"/>
              <w:spacing w:before="129"/>
              <w:ind w:left="26"/>
              <w:rPr>
                <w:rFonts w:ascii="Lato" w:eastAsia="Lato" w:hAnsi="Lato" w:cs="Lato"/>
                <w:color w:val="FFFFFF" w:themeColor="background1"/>
                <w:sz w:val="18"/>
                <w:szCs w:val="18"/>
              </w:rPr>
            </w:pPr>
            <w:r w:rsidRPr="3D43DD34">
              <w:rPr>
                <w:rFonts w:ascii="Lato" w:eastAsia="Lato" w:hAnsi="Lato" w:cs="Lato"/>
                <w:b/>
                <w:bCs/>
                <w:color w:val="FFFFFF" w:themeColor="background1"/>
                <w:sz w:val="18"/>
                <w:szCs w:val="18"/>
              </w:rPr>
              <w:t>Recommended Markup</w:t>
            </w:r>
          </w:p>
        </w:tc>
      </w:tr>
      <w:tr w:rsidR="3D43DD34" w14:paraId="6FCC6C1D" w14:textId="77777777" w:rsidTr="3D43DD34">
        <w:trPr>
          <w:trHeight w:val="330"/>
        </w:trPr>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E268BD" w14:textId="7F13C934"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Contractor</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CD3BD8" w14:textId="5B90E4F5"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$27.00 PEPM</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E16B04" w14:textId="782EA3E5"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$18.00 PEPM</w:t>
            </w:r>
          </w:p>
        </w:tc>
      </w:tr>
      <w:tr w:rsidR="3D43DD34" w14:paraId="59498810" w14:textId="77777777" w:rsidTr="3D43DD34">
        <w:trPr>
          <w:trHeight w:val="330"/>
        </w:trPr>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939A37" w14:textId="1AA91B95"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Contractor of Record</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6D531A" w14:textId="52247038"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$135.00 PEPM</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FF5EA9" w14:textId="6D37E234"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$90.00 PEPM</w:t>
            </w:r>
          </w:p>
        </w:tc>
      </w:tr>
    </w:tbl>
    <w:p w14:paraId="3FA68F74" w14:textId="1F019653" w:rsidR="3D43DD34" w:rsidRDefault="3D43DD34" w:rsidP="3D43DD34">
      <w:pPr>
        <w:rPr>
          <w:rFonts w:ascii="Lato" w:eastAsia="Lato" w:hAnsi="Lato" w:cs="Lato"/>
          <w:color w:val="000000" w:themeColor="text1"/>
          <w:sz w:val="22"/>
          <w:szCs w:val="22"/>
        </w:rPr>
      </w:pPr>
    </w:p>
    <w:p w14:paraId="7277BEEE" w14:textId="0670CB7E" w:rsidR="4188218F" w:rsidRDefault="4188218F" w:rsidP="3D43DD34">
      <w:pPr>
        <w:pStyle w:val="ListParagraph"/>
        <w:numPr>
          <w:ilvl w:val="0"/>
          <w:numId w:val="1"/>
        </w:numPr>
        <w:rPr>
          <w:rFonts w:ascii="Lato" w:eastAsia="Lato" w:hAnsi="Lato" w:cs="Lato"/>
          <w:color w:val="000000" w:themeColor="text1"/>
          <w:sz w:val="18"/>
          <w:szCs w:val="18"/>
        </w:rPr>
      </w:pPr>
      <w:r w:rsidRPr="3D43DD34">
        <w:rPr>
          <w:rFonts w:ascii="Lato" w:eastAsia="Lato" w:hAnsi="Lato" w:cs="Lato"/>
          <w:color w:val="000000" w:themeColor="text1"/>
          <w:sz w:val="18"/>
          <w:szCs w:val="18"/>
        </w:rPr>
        <w:t xml:space="preserve">Other fees and charges. </w:t>
      </w:r>
    </w:p>
    <w:p w14:paraId="4E69C593" w14:textId="0B66B7DF" w:rsidR="3D43DD34" w:rsidRDefault="3D43DD34" w:rsidP="3D43DD34">
      <w:pPr>
        <w:ind w:left="720"/>
        <w:rPr>
          <w:rFonts w:ascii="Lato" w:eastAsia="Lato" w:hAnsi="Lato" w:cs="Lato"/>
          <w:color w:val="000000" w:themeColor="text1"/>
          <w:sz w:val="18"/>
          <w:szCs w:val="18"/>
        </w:rPr>
      </w:pPr>
    </w:p>
    <w:tbl>
      <w:tblPr>
        <w:tblW w:w="0" w:type="auto"/>
        <w:tblInd w:w="63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3145"/>
        <w:gridCol w:w="3142"/>
        <w:gridCol w:w="3147"/>
      </w:tblGrid>
      <w:tr w:rsidR="3D43DD34" w14:paraId="4177F487" w14:textId="77777777" w:rsidTr="3D43DD34">
        <w:trPr>
          <w:trHeight w:val="345"/>
        </w:trPr>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D2841"/>
          </w:tcPr>
          <w:p w14:paraId="2253247C" w14:textId="515770EE" w:rsidR="3D43DD34" w:rsidRDefault="3D43DD34" w:rsidP="3D43DD34">
            <w:pPr>
              <w:pStyle w:val="TableParagraph"/>
              <w:spacing w:before="129"/>
              <w:ind w:left="26"/>
              <w:rPr>
                <w:rFonts w:ascii="Lato" w:eastAsia="Lato" w:hAnsi="Lato" w:cs="Lato"/>
                <w:color w:val="FFFFFF" w:themeColor="background1"/>
                <w:sz w:val="18"/>
                <w:szCs w:val="18"/>
              </w:rPr>
            </w:pPr>
            <w:r w:rsidRPr="3D43DD34">
              <w:rPr>
                <w:rFonts w:ascii="Lato" w:eastAsia="Lato" w:hAnsi="Lato" w:cs="Lato"/>
                <w:b/>
                <w:bCs/>
                <w:color w:val="FFFFFF" w:themeColor="background1"/>
                <w:sz w:val="18"/>
                <w:szCs w:val="18"/>
              </w:rPr>
              <w:t>Item</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D2841"/>
          </w:tcPr>
          <w:p w14:paraId="009B5AAA" w14:textId="38D5A0D4" w:rsidR="3D43DD34" w:rsidRDefault="3D43DD34" w:rsidP="3D43DD34">
            <w:pPr>
              <w:pStyle w:val="TableParagraph"/>
              <w:spacing w:before="129"/>
              <w:ind w:left="26"/>
              <w:rPr>
                <w:rFonts w:ascii="Lato" w:eastAsia="Lato" w:hAnsi="Lato" w:cs="Lato"/>
                <w:color w:val="FFFFFF" w:themeColor="background1"/>
                <w:sz w:val="18"/>
                <w:szCs w:val="18"/>
              </w:rPr>
            </w:pPr>
            <w:r w:rsidRPr="3D43DD34">
              <w:rPr>
                <w:rFonts w:ascii="Lato" w:eastAsia="Lato" w:hAnsi="Lato" w:cs="Lato"/>
                <w:b/>
                <w:bCs/>
                <w:color w:val="FFFFFF" w:themeColor="background1"/>
                <w:sz w:val="18"/>
                <w:szCs w:val="18"/>
              </w:rPr>
              <w:t>Fee/Amount</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D2841"/>
          </w:tcPr>
          <w:p w14:paraId="033DB254" w14:textId="74852C15" w:rsidR="3D43DD34" w:rsidRDefault="3D43DD34" w:rsidP="3D43DD34">
            <w:pPr>
              <w:pStyle w:val="TableParagraph"/>
              <w:spacing w:before="129"/>
              <w:ind w:left="26"/>
              <w:rPr>
                <w:rFonts w:ascii="Lato" w:eastAsia="Lato" w:hAnsi="Lato" w:cs="Lato"/>
                <w:color w:val="FFFFFF" w:themeColor="background1"/>
                <w:sz w:val="18"/>
                <w:szCs w:val="18"/>
              </w:rPr>
            </w:pPr>
            <w:r w:rsidRPr="3D43DD34">
              <w:rPr>
                <w:rFonts w:ascii="Lato" w:eastAsia="Lato" w:hAnsi="Lato" w:cs="Lato"/>
                <w:b/>
                <w:bCs/>
                <w:color w:val="FFFFFF" w:themeColor="background1"/>
                <w:sz w:val="18"/>
                <w:szCs w:val="18"/>
              </w:rPr>
              <w:t>Notes</w:t>
            </w:r>
          </w:p>
        </w:tc>
      </w:tr>
      <w:tr w:rsidR="3D43DD34" w14:paraId="498B43D2" w14:textId="77777777" w:rsidTr="3D43DD34">
        <w:trPr>
          <w:trHeight w:val="330"/>
        </w:trPr>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125731" w14:textId="69968545"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Custom Portal Branding</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2B4B7A" w14:textId="0A555EA5"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$750.00</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724F7B" w14:textId="20C41ABF"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One-time implementation fee.</w:t>
            </w:r>
          </w:p>
        </w:tc>
      </w:tr>
      <w:tr w:rsidR="3D43DD34" w14:paraId="47BC68B2" w14:textId="77777777" w:rsidTr="3D43DD34">
        <w:trPr>
          <w:trHeight w:val="330"/>
        </w:trPr>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987EB9" w14:textId="38D6A303"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Onboarding Fee</w:t>
            </w:r>
          </w:p>
          <w:p w14:paraId="56277DDC" w14:textId="172BF4A3"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(Only applicable to EOR engagements)</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D84C83" w14:textId="01261A7C"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$500</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234534" w14:textId="1B391911"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One-time fee per employee.</w:t>
            </w:r>
          </w:p>
          <w:p w14:paraId="550BF927" w14:textId="295A1D6A" w:rsidR="3D43DD34" w:rsidRDefault="3D43DD34" w:rsidP="3D43DD34">
            <w:pPr>
              <w:spacing w:before="104"/>
              <w:ind w:left="26"/>
              <w:rPr>
                <w:rFonts w:ascii="Lato" w:eastAsia="Lato" w:hAnsi="Lato" w:cs="Lato"/>
                <w:sz w:val="18"/>
                <w:szCs w:val="18"/>
              </w:rPr>
            </w:pPr>
          </w:p>
        </w:tc>
      </w:tr>
      <w:tr w:rsidR="3D43DD34" w14:paraId="6778B60E" w14:textId="77777777" w:rsidTr="3D43DD34">
        <w:trPr>
          <w:trHeight w:val="330"/>
        </w:trPr>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B7B9A3" w14:textId="47A08184"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 xml:space="preserve">Visa Sponsorship Fee </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0AACBFB" w14:textId="16ACC0A8"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$100.00 PEPM</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54942C" w14:textId="3C71FBD4"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 xml:space="preserve">Admin fee applicable if Customer elects this immigration service. This </w:t>
            </w:r>
            <w:r w:rsidRPr="3D43DD34">
              <w:rPr>
                <w:rFonts w:ascii="Lato" w:eastAsia="Lato" w:hAnsi="Lato" w:cs="Lato"/>
                <w:sz w:val="18"/>
                <w:szCs w:val="18"/>
              </w:rPr>
              <w:lastRenderedPageBreak/>
              <w:t>is in addition to the visa sponsorship application fee that will vary based on the country and complexity and all related costs (legal fees, government fees, etc)</w:t>
            </w:r>
          </w:p>
        </w:tc>
      </w:tr>
      <w:tr w:rsidR="3D43DD34" w14:paraId="38EA7288" w14:textId="77777777" w:rsidTr="3D43DD34">
        <w:trPr>
          <w:trHeight w:val="330"/>
        </w:trPr>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21A07F" w14:textId="34B5FA71"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lastRenderedPageBreak/>
              <w:t>Foreign Exchange (FX) Fee</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39A9F9" w14:textId="5145AA40"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Up to 3% of the converted amount.</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224A9B" w14:textId="2E1358B9"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Applicable to any invoices to the extent that payment is submitted in a different currency than PrismHR is obligated to pay to the Employees or Contractors</w:t>
            </w:r>
          </w:p>
        </w:tc>
      </w:tr>
      <w:tr w:rsidR="3D43DD34" w14:paraId="4CAB58D7" w14:textId="77777777" w:rsidTr="3D43DD34">
        <w:trPr>
          <w:trHeight w:val="330"/>
        </w:trPr>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AF9409" w14:textId="5228BAED"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Refundable Security Deposit *</w:t>
            </w:r>
          </w:p>
          <w:p w14:paraId="296BE35D" w14:textId="1053BEF3"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(Only applicable to EOR engagements)</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326DD6" w14:textId="3C9ED315"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 xml:space="preserve">As per Deposit Policy.   </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7A3989" w14:textId="4F0AB1BB"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 xml:space="preserve">One-time per employee unless replenishment or adjustment is applicable per the terms of the Global Services Annex. </w:t>
            </w:r>
          </w:p>
        </w:tc>
      </w:tr>
      <w:tr w:rsidR="3D43DD34" w14:paraId="57D8938E" w14:textId="77777777" w:rsidTr="3D43DD34">
        <w:trPr>
          <w:trHeight w:val="330"/>
        </w:trPr>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684C33" w14:textId="126D5510"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Refundable monthly Severance Accrual Deposit. *</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C4E0FF" w14:textId="11A216FE"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 xml:space="preserve">8.33% of the employee's total employment cost to be collected monthly unless stated otherwise on the Deposit Policy. </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0283EF" w14:textId="3064D86A" w:rsidR="3D43DD34" w:rsidRDefault="3D43DD34" w:rsidP="3D43DD34">
            <w:pPr>
              <w:spacing w:before="104"/>
              <w:ind w:left="26"/>
              <w:rPr>
                <w:rFonts w:ascii="Lato" w:eastAsia="Lato" w:hAnsi="Lato" w:cs="Lato"/>
                <w:sz w:val="18"/>
                <w:szCs w:val="18"/>
              </w:rPr>
            </w:pPr>
          </w:p>
        </w:tc>
      </w:tr>
      <w:tr w:rsidR="3D43DD34" w14:paraId="2EFC17E4" w14:textId="77777777" w:rsidTr="3D43DD34">
        <w:trPr>
          <w:trHeight w:val="330"/>
        </w:trPr>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13B7DC6" w14:textId="4FB0A672"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Offboarding Fee</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60A81DE" w14:textId="37D386BA"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$500.00 per Employee</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2E8760" w14:textId="383D40FA"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Applicable upon termination of a Assigned Employee. In addition to Transition Costs.</w:t>
            </w:r>
          </w:p>
        </w:tc>
      </w:tr>
      <w:tr w:rsidR="3D43DD34" w14:paraId="122C6BB4" w14:textId="77777777" w:rsidTr="3D43DD34">
        <w:trPr>
          <w:trHeight w:val="330"/>
        </w:trPr>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32E740" w14:textId="6FC8CFAF"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Background Checks</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CC29F6" w14:textId="031C0613"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$200.00 per individual</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588ADB" w14:textId="3CF73964"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 xml:space="preserve">Mandatory for EOR and Contractor of Record. Optional for Contractor. </w:t>
            </w:r>
          </w:p>
        </w:tc>
      </w:tr>
      <w:tr w:rsidR="3D43DD34" w14:paraId="75343465" w14:textId="77777777" w:rsidTr="3D43DD34">
        <w:trPr>
          <w:trHeight w:val="330"/>
        </w:trPr>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B28EDA" w14:textId="6E746B51"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Expense Administration Fee</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B0C318" w14:textId="59246BB8"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Up to 5% of the total expense amount</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243007" w14:textId="16FE85C2" w:rsidR="3D43DD34" w:rsidRDefault="3D43DD34" w:rsidP="3D43DD34">
            <w:pPr>
              <w:spacing w:before="104"/>
              <w:ind w:left="26"/>
              <w:rPr>
                <w:rFonts w:ascii="Lato" w:eastAsia="Lato" w:hAnsi="Lato" w:cs="Lato"/>
                <w:sz w:val="18"/>
                <w:szCs w:val="18"/>
              </w:rPr>
            </w:pPr>
          </w:p>
        </w:tc>
      </w:tr>
      <w:tr w:rsidR="3D43DD34" w14:paraId="78F556AB" w14:textId="77777777" w:rsidTr="3D43DD34">
        <w:trPr>
          <w:trHeight w:val="330"/>
        </w:trPr>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2F195D" w14:textId="4EA5466D"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Additional Services</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A9BD3FB" w14:textId="18969DEE"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Pricing shall provided upon request and reflected in the applicable Service Order.</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262F54" w14:textId="5DB84006"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 xml:space="preserve">Examples are recruiting, workplace solutions, etc. </w:t>
            </w:r>
          </w:p>
        </w:tc>
      </w:tr>
      <w:tr w:rsidR="3D43DD34" w14:paraId="52EA224E" w14:textId="77777777" w:rsidTr="3D43DD34">
        <w:trPr>
          <w:trHeight w:val="330"/>
        </w:trPr>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71F671" w14:textId="10797244"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Out of Scope Fees**</w:t>
            </w:r>
          </w:p>
          <w:p w14:paraId="540DB808" w14:textId="6571D547"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Payroll updates after cut-off and salary re-runs, off cycle payments</w:t>
            </w:r>
          </w:p>
          <w:p w14:paraId="03CE7978" w14:textId="3784B50E"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(Only applicable to EOR)</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BBD5C5" w14:textId="0CAD932F"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$500.00 per event</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EAC013" w14:textId="7B7132F7"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Requests to implement compensation changes submitted after the payroll cut-off and issuance of new pay slips to EOR employees</w:t>
            </w:r>
          </w:p>
        </w:tc>
      </w:tr>
      <w:tr w:rsidR="3D43DD34" w14:paraId="1FE4662F" w14:textId="77777777" w:rsidTr="3D43DD34">
        <w:trPr>
          <w:trHeight w:val="330"/>
        </w:trPr>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197494C" w14:textId="5CFDE5E9"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Out of Scope Fees**</w:t>
            </w:r>
          </w:p>
          <w:p w14:paraId="56D26C46" w14:textId="4010F8D3"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 xml:space="preserve">Advanced Payments </w:t>
            </w:r>
          </w:p>
          <w:p w14:paraId="0E04497D" w14:textId="4E4359F5"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(Only applicable to EOR)</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F65F11" w14:textId="09882F7D"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$300.00 per event</w:t>
            </w:r>
          </w:p>
        </w:t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0C2CEE" w14:textId="355C4B6D" w:rsidR="3D43DD34" w:rsidRDefault="3D43DD34" w:rsidP="3D43DD34">
            <w:pPr>
              <w:pStyle w:val="TableParagraph"/>
              <w:spacing w:before="104"/>
              <w:ind w:left="26"/>
              <w:rPr>
                <w:rFonts w:ascii="Lato" w:eastAsia="Lato" w:hAnsi="Lato" w:cs="Lato"/>
                <w:sz w:val="18"/>
                <w:szCs w:val="18"/>
              </w:rPr>
            </w:pPr>
            <w:r w:rsidRPr="3D43DD34">
              <w:rPr>
                <w:rFonts w:ascii="Lato" w:eastAsia="Lato" w:hAnsi="Lato" w:cs="Lato"/>
                <w:sz w:val="18"/>
                <w:szCs w:val="18"/>
              </w:rPr>
              <w:t>Requests to process employee compensation outside the standard payroll cycle, prior to the scheduled payroll close.</w:t>
            </w:r>
          </w:p>
        </w:tc>
      </w:tr>
    </w:tbl>
    <w:p w14:paraId="5424542C" w14:textId="76F11A18" w:rsidR="3D43DD34" w:rsidRDefault="3D43DD34" w:rsidP="3D43DD34">
      <w:pPr>
        <w:ind w:left="720"/>
        <w:rPr>
          <w:rFonts w:ascii="Lato" w:eastAsia="Lato" w:hAnsi="Lato" w:cs="Lato"/>
          <w:color w:val="000000" w:themeColor="text1"/>
          <w:sz w:val="18"/>
          <w:szCs w:val="18"/>
        </w:rPr>
      </w:pPr>
    </w:p>
    <w:p w14:paraId="396B30FD" w14:textId="26945003" w:rsidR="4188218F" w:rsidRDefault="4188218F" w:rsidP="3D43DD34">
      <w:pPr>
        <w:ind w:left="360"/>
        <w:jc w:val="both"/>
        <w:rPr>
          <w:rFonts w:ascii="Lato" w:eastAsia="Lato" w:hAnsi="Lato" w:cs="Lato"/>
          <w:color w:val="000000" w:themeColor="text1"/>
          <w:sz w:val="18"/>
          <w:szCs w:val="18"/>
        </w:rPr>
      </w:pPr>
      <w:r w:rsidRPr="3D43DD34">
        <w:rPr>
          <w:rFonts w:ascii="Lato" w:eastAsia="Lato" w:hAnsi="Lato" w:cs="Lato"/>
          <w:color w:val="000000" w:themeColor="text1"/>
          <w:sz w:val="18"/>
          <w:szCs w:val="18"/>
        </w:rPr>
        <w:t>* Deposit amounts will vary by country and risk profile. The Deposit Policy shall be available to Customer, however, PrismHR reserves the right to deviate from the Deposit Policy as necessary provided that it notifies Customer prior to the applicable engagement. Changes to the Deposit and Severance Accrual requirements are PrismHR sole discretion. Unless otherwise expressly provided in the Global Services Annex, any changes to deposit  or severance accrual requirements shall apply prospectively to new hires,  and shall not apply to individuals already onboarded prior to such effective date. </w:t>
      </w:r>
    </w:p>
    <w:p w14:paraId="5321A1FD" w14:textId="0F2D4619" w:rsidR="3D43DD34" w:rsidRDefault="3D43DD34" w:rsidP="3D43DD34">
      <w:pPr>
        <w:ind w:left="360"/>
        <w:jc w:val="both"/>
        <w:rPr>
          <w:rFonts w:ascii="Lato" w:eastAsia="Lato" w:hAnsi="Lato" w:cs="Lato"/>
          <w:color w:val="000000" w:themeColor="text1"/>
          <w:sz w:val="18"/>
          <w:szCs w:val="18"/>
        </w:rPr>
      </w:pPr>
    </w:p>
    <w:p w14:paraId="6CA4A9D2" w14:textId="40223C1F" w:rsidR="4188218F" w:rsidRDefault="4188218F" w:rsidP="3D43DD34">
      <w:pPr>
        <w:ind w:left="360"/>
        <w:jc w:val="both"/>
        <w:rPr>
          <w:rFonts w:ascii="Lato" w:eastAsia="Lato" w:hAnsi="Lato" w:cs="Lato"/>
          <w:color w:val="000000" w:themeColor="text1"/>
          <w:sz w:val="18"/>
          <w:szCs w:val="18"/>
        </w:rPr>
      </w:pPr>
      <w:r w:rsidRPr="3D43DD34">
        <w:rPr>
          <w:rFonts w:ascii="Lato" w:eastAsia="Lato" w:hAnsi="Lato" w:cs="Lato"/>
          <w:color w:val="000000" w:themeColor="text1"/>
          <w:sz w:val="18"/>
          <w:szCs w:val="18"/>
        </w:rPr>
        <w:t>** This schedule is non-exhaustive. PrismHR may add or adjust out-of-scope and off-cycle fees on advance notice to Customer. The out-of-scope and off-cycle fees  services are not included in the standard scope of the Global Services and may be performed by PrismHR, at its sole discretion, on a case-by-case basis, subject to operational capacity, compliance considerations, and other applicable requirements (including pre-funding and credit approval). PrismHR does not guarantee the availability or performance of any such service, and performance in a given instance is not a waiver of PrismHR’s right to decline similar requests in the future. Any additional services or fees not expressly contemplated here will be communicated to Customer in advance. Unless otherwise stated, all fees are charged on a per-employee, per-event basis.</w:t>
      </w:r>
    </w:p>
    <w:p w14:paraId="48FAB944" w14:textId="79832432" w:rsidR="3D43DD34" w:rsidRDefault="3D43DD34" w:rsidP="3D43DD34">
      <w:pPr>
        <w:ind w:left="360"/>
        <w:rPr>
          <w:rFonts w:ascii="Lato" w:eastAsia="Lato" w:hAnsi="Lato" w:cs="Lato"/>
          <w:color w:val="000000" w:themeColor="text1"/>
          <w:sz w:val="18"/>
          <w:szCs w:val="18"/>
        </w:rPr>
      </w:pPr>
    </w:p>
    <w:p w14:paraId="16E1FCF9" w14:textId="5BD176A0" w:rsidR="3D43DD34" w:rsidRDefault="3D43DD34" w:rsidP="3D43DD34">
      <w:pPr>
        <w:ind w:left="360"/>
        <w:rPr>
          <w:rFonts w:ascii="Lato" w:eastAsia="Lato" w:hAnsi="Lato" w:cs="Lato"/>
          <w:color w:val="000000" w:themeColor="text1"/>
          <w:sz w:val="18"/>
          <w:szCs w:val="18"/>
        </w:rPr>
      </w:pPr>
    </w:p>
    <w:p w14:paraId="46AC9949" w14:textId="33FA3067" w:rsidR="4188218F" w:rsidRDefault="4188218F" w:rsidP="3D43DD34">
      <w:pPr>
        <w:ind w:left="360"/>
        <w:rPr>
          <w:rFonts w:ascii="Lato" w:eastAsia="Lato" w:hAnsi="Lato" w:cs="Lato"/>
          <w:color w:val="000000" w:themeColor="text1"/>
          <w:sz w:val="20"/>
          <w:szCs w:val="20"/>
        </w:rPr>
      </w:pPr>
      <w:r w:rsidRPr="3D43DD34">
        <w:rPr>
          <w:rFonts w:ascii="Lato" w:eastAsia="Lato" w:hAnsi="Lato" w:cs="Lato"/>
          <w:b/>
          <w:bCs/>
          <w:color w:val="000000" w:themeColor="text1"/>
          <w:sz w:val="20"/>
          <w:szCs w:val="20"/>
        </w:rPr>
        <w:lastRenderedPageBreak/>
        <w:t>Employer of Record Tier Rate Categories by Country</w:t>
      </w:r>
    </w:p>
    <w:p w14:paraId="1DBD386F" w14:textId="6774FA12" w:rsidR="3D43DD34" w:rsidRDefault="3D43DD34" w:rsidP="3D43DD34">
      <w:pPr>
        <w:ind w:left="360"/>
        <w:rPr>
          <w:rFonts w:ascii="Lato" w:eastAsia="Lato" w:hAnsi="Lato" w:cs="Lato"/>
          <w:color w:val="000000" w:themeColor="text1"/>
          <w:sz w:val="18"/>
          <w:szCs w:val="18"/>
        </w:rPr>
      </w:pPr>
    </w:p>
    <w:p w14:paraId="1CD8F834" w14:textId="1C9A7F78" w:rsidR="4188218F" w:rsidRDefault="4188218F" w:rsidP="3D43DD34">
      <w:pPr>
        <w:ind w:left="360"/>
        <w:rPr>
          <w:rFonts w:ascii="Lato" w:eastAsia="Lato" w:hAnsi="Lato" w:cs="Lato"/>
          <w:color w:val="000000" w:themeColor="text1"/>
          <w:sz w:val="18"/>
          <w:szCs w:val="18"/>
        </w:rPr>
      </w:pPr>
      <w:r w:rsidRPr="3D43DD34">
        <w:rPr>
          <w:rFonts w:ascii="Lato" w:eastAsia="Lato" w:hAnsi="Lato" w:cs="Lato"/>
          <w:color w:val="000000" w:themeColor="text1"/>
          <w:sz w:val="18"/>
          <w:szCs w:val="18"/>
        </w:rPr>
        <w:t>The following list is not exhaustive and is subject to change based on external conditions.</w:t>
      </w:r>
    </w:p>
    <w:p w14:paraId="3C0B4A4A" w14:textId="2369ED71" w:rsidR="3D43DD34" w:rsidRDefault="3D43DD34" w:rsidP="3D43DD34">
      <w:pPr>
        <w:ind w:left="360"/>
        <w:rPr>
          <w:rFonts w:ascii="Lato" w:eastAsia="Lato" w:hAnsi="Lato" w:cs="Lato"/>
          <w:color w:val="000000" w:themeColor="text1"/>
          <w:sz w:val="18"/>
          <w:szCs w:val="18"/>
        </w:rPr>
      </w:pPr>
    </w:p>
    <w:tbl>
      <w:tblPr>
        <w:tblW w:w="0" w:type="auto"/>
        <w:tblInd w:w="55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735"/>
        <w:gridCol w:w="2160"/>
      </w:tblGrid>
      <w:tr w:rsidR="3D43DD34" w14:paraId="18FBA2BF" w14:textId="77777777" w:rsidTr="004E2CC6">
        <w:trPr>
          <w:trHeight w:val="285"/>
        </w:trPr>
        <w:tc>
          <w:tcPr>
            <w:tcW w:w="3735" w:type="dxa"/>
            <w:tcBorders>
              <w:top w:val="nil"/>
              <w:left w:val="nil"/>
              <w:bottom w:val="nil"/>
              <w:right w:val="nil"/>
            </w:tcBorders>
            <w:tcMar>
              <w:left w:w="105" w:type="dxa"/>
              <w:right w:w="105" w:type="dxa"/>
            </w:tcMar>
            <w:vAlign w:val="bottom"/>
          </w:tcPr>
          <w:p w14:paraId="5408C05B" w14:textId="19DAC5CF" w:rsidR="3D43DD34" w:rsidRDefault="3D43DD34" w:rsidP="3D43DD34">
            <w:pPr>
              <w:rPr>
                <w:rFonts w:ascii="Lato" w:eastAsia="Lato" w:hAnsi="Lato" w:cs="Lato"/>
                <w:color w:val="000000" w:themeColor="text1"/>
                <w:sz w:val="22"/>
                <w:szCs w:val="22"/>
              </w:rPr>
            </w:pPr>
            <w:r w:rsidRPr="3D43DD34">
              <w:rPr>
                <w:rFonts w:ascii="Lato" w:eastAsia="Lato" w:hAnsi="Lato" w:cs="Lato"/>
                <w:b/>
                <w:bCs/>
                <w:color w:val="000000" w:themeColor="text1"/>
                <w:sz w:val="22"/>
                <w:szCs w:val="22"/>
              </w:rPr>
              <w:t>Country</w:t>
            </w:r>
          </w:p>
        </w:tc>
        <w:tc>
          <w:tcPr>
            <w:tcW w:w="2160" w:type="dxa"/>
            <w:tcBorders>
              <w:top w:val="nil"/>
              <w:left w:val="nil"/>
              <w:bottom w:val="nil"/>
              <w:right w:val="nil"/>
            </w:tcBorders>
            <w:tcMar>
              <w:left w:w="105" w:type="dxa"/>
              <w:right w:w="105" w:type="dxa"/>
            </w:tcMar>
            <w:vAlign w:val="bottom"/>
          </w:tcPr>
          <w:p w14:paraId="6ED7EA56" w14:textId="266C3644" w:rsidR="3D43DD34" w:rsidRDefault="3D43DD34" w:rsidP="3D43DD34">
            <w:pPr>
              <w:jc w:val="center"/>
              <w:rPr>
                <w:rFonts w:ascii="Lato" w:eastAsia="Lato" w:hAnsi="Lato" w:cs="Lato"/>
                <w:color w:val="000000" w:themeColor="text1"/>
                <w:sz w:val="22"/>
                <w:szCs w:val="22"/>
              </w:rPr>
            </w:pPr>
            <w:r w:rsidRPr="3D43DD34">
              <w:rPr>
                <w:rFonts w:ascii="Lato" w:eastAsia="Lato" w:hAnsi="Lato" w:cs="Lato"/>
                <w:b/>
                <w:bCs/>
                <w:color w:val="000000" w:themeColor="text1"/>
                <w:sz w:val="22"/>
                <w:szCs w:val="22"/>
              </w:rPr>
              <w:t>Tier Rate Category</w:t>
            </w:r>
          </w:p>
        </w:tc>
      </w:tr>
      <w:tr w:rsidR="3D43DD34" w14:paraId="3CFE53DE"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FA948C3" w14:textId="56E5FCE8"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Albania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5A00879" w14:textId="5C1E88D1"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4287D31A"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2142402" w14:textId="39A8633C"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Algeria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8C760DC" w14:textId="4428DC57"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146EA930"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4DE4C91" w14:textId="59F99607"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Andorra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7A4DF85" w14:textId="0F51904A"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5EF0F6C5"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212997C" w14:textId="65347592"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Angola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A182F84" w14:textId="11B71C50"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728BB2FA"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BE83271" w14:textId="1DD4CCE4"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Antigua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8D5753D" w14:textId="21C3ADD3"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3D43DD34" w14:paraId="74C832B2"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722223E" w14:textId="0BFD0DD6"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Argentina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329F746" w14:textId="1A9F0699"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1</w:t>
            </w:r>
          </w:p>
        </w:tc>
      </w:tr>
      <w:tr w:rsidR="3D43DD34" w14:paraId="7D6767B2"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77ADCA6" w14:textId="6C943767"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Armenia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98DAFDE" w14:textId="6AA47E63"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31D65777"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B4E077B" w14:textId="0CEB2864"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Aruba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3694838" w14:textId="66BBEE12"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5C059C2E"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53E0DB8" w14:textId="5D3C5437"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Australia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748A99A" w14:textId="69430894"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66DE09E8"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5868641" w14:textId="27B76AEF"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Austria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25A6933" w14:textId="16319A70"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062472BD"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19DC603" w14:textId="1832D07E"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Azerbaijan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8E56B9C" w14:textId="6C60EC02"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334CF5B4"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6BA3292" w14:textId="7319390E"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Bahamas</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B1F3A56" w14:textId="3ACA0E64"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52979981"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4968A50" w14:textId="3F08D0B9"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Bahrain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2D01577" w14:textId="0878CC45"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095911A5"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6D45CBE" w14:textId="63102F22"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Bangladesh</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A5E5E1B" w14:textId="34730D95"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794C318E"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39F7FAE" w14:textId="57B09A1C"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Barbados</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AED63D3" w14:textId="51BA9495"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3C729515"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983FFFC" w14:textId="54E6CDA5"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Belarus</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FEEB7C6" w14:textId="0EDB32C8"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7A988059"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879C7F3" w14:textId="65C4EDD7"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Belgium</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F8886AE" w14:textId="41A55FEE"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38B43949"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95058C5" w14:textId="25AD9DA0"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Belize</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D998AC5" w14:textId="50B1CEC0"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1</w:t>
            </w:r>
          </w:p>
        </w:tc>
      </w:tr>
      <w:tr w:rsidR="3D43DD34" w14:paraId="62B62055"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3FBB750" w14:textId="702357B0"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Benin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01B11EB" w14:textId="395B74AD"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468886A9"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D705FDA" w14:textId="42C7A591"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Bermuda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7B9D82C" w14:textId="73F95296"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0E77A68B"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E86F181" w14:textId="063BFBF6"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Bhutan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E75FBA9" w14:textId="20643CB5"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3D43DD34" w14:paraId="0C696EAA"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10F0AD7" w14:textId="08D55672"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Bolivia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FA59C8F" w14:textId="6D202250"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330DB183"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2C18D41" w14:textId="0C123EEC"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Bosnia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1FEF598" w14:textId="1AF4E54D"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5BEDAFCF"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F22A2CD" w14:textId="07E189BD"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lastRenderedPageBreak/>
              <w:t>Botswana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70B2707" w14:textId="1DA82143"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5A2832DF"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DD6C37E" w14:textId="64D854AB"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Brazil</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EB5028D" w14:textId="132AF308"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3D43DD34" w14:paraId="56DE1826"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3429A87" w14:textId="3C5D3980"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Brunei</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9203D2B" w14:textId="57D272F1"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3D43DD34" w14:paraId="4D356C11"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AFCE215" w14:textId="577B8437"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Bulgaria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CEFE90C" w14:textId="05779655"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09ADE74D"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B99DBB8" w14:textId="5116119D"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Burkina Faso</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0A4616A" w14:textId="2E78C90D"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435AF133"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7CC8A80" w14:textId="09F14925"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Burundi</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05ED4A8" w14:textId="4B046401"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642CE3BA"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BF02579" w14:textId="4F3FAC89"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Cabo Verde</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7904DAF" w14:textId="24B1BE92"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3D43DD34" w14:paraId="7F4FF69E"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F317CB9" w14:textId="76A19A91"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Cambodia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3AEFF0F" w14:textId="7FE7770F"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375B1D26"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2E197F5" w14:textId="0BBD1E72"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Cameroon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EBA2F1D" w14:textId="1782ECD7"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09F2F253"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CEFA9F1" w14:textId="2F433C6E"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Canada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FE5A3C4" w14:textId="1497C65C"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1</w:t>
            </w:r>
          </w:p>
        </w:tc>
      </w:tr>
      <w:tr w:rsidR="3D43DD34" w14:paraId="47E6678D"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7692BC3" w14:textId="07F62D0A"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Cayman Islands</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EAE288A" w14:textId="2D99F12E"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0F5A10F9"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40809CF" w14:textId="69EBE825"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Central Africa Republic</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2A8E83D" w14:textId="7F8AC95D"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3D43DD34" w14:paraId="5EE9C8A3"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3FB8199" w14:textId="0071AD0D"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Chad</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70F5DDD" w14:textId="67325335"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3D43DD34" w14:paraId="53B96B41"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C343BA1" w14:textId="39AB523F"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Chile</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C2D2A71" w14:textId="7B24365C"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433C6C27"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C72E670" w14:textId="2CE724B4"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China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12BCEBD" w14:textId="1317767F"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4F921595"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A99AD00" w14:textId="10784BF1"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Colombia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F09C068" w14:textId="1C319D32"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1</w:t>
            </w:r>
          </w:p>
        </w:tc>
      </w:tr>
      <w:tr w:rsidR="3D43DD34" w14:paraId="5883B46A"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81EEC10" w14:textId="330F9A33"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Comoros</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62D3FEA" w14:textId="3DD08DC8"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3D43DD34" w14:paraId="4B92CA28"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96602B2" w14:textId="0E277BE8"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Costa Rica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7F24F5A" w14:textId="2A80A7BC"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1</w:t>
            </w:r>
          </w:p>
        </w:tc>
      </w:tr>
      <w:tr w:rsidR="3D43DD34" w14:paraId="25DD8E78"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E3A5F66" w14:textId="3EF55AC5"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Cote d'Ivoire</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8E74075" w14:textId="1A10828A"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462C65A2"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965D51D" w14:textId="0D63A1D1"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Croatia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17A7097" w14:textId="441873DD"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741ACAE7"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C8BBFCE" w14:textId="7BFB535B"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Cyprus</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D3DB848" w14:textId="66BF2FAC"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7CEAEA1C"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AB85C2C" w14:textId="6FB4468E"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Czech Republic/Czechia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354B251" w14:textId="77AEB767"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0CC42260"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39A825C" w14:textId="731F0F4E"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Democratic Republic of Congo</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15603DB" w14:textId="0CC7CAD1"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5D79B2FB"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880C52D" w14:textId="42EEF3FF"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Denmark</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C5EB001" w14:textId="225C0A44"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1E243309"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DD353D2" w14:textId="05E06ACE"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Djibouti</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EFFEC1D" w14:textId="5EF8BF67"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3D43DD34" w14:paraId="3B061FDF"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2F9FC82" w14:textId="40F59976"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Dominica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B942D02" w14:textId="573CA103"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3D43DD34" w14:paraId="10684AA6"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F110676" w14:textId="3B316CB0"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Dominican Republic</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ED0B0EB" w14:textId="5D0BCF20"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6510EA46"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4494C92" w14:textId="051B5FB9"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 xml:space="preserve"> Ecuador</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B20EA51" w14:textId="7CA2D167"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1F8BCA83"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285A0DD" w14:textId="5BC8DCAA"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lastRenderedPageBreak/>
              <w:t>Egypt</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C7C7EC0" w14:textId="7C059E6A"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554FB799"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2903801" w14:textId="1532722F"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El Salvador</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6604120" w14:textId="606C2D44"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773F3457"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55244BE" w14:textId="4DF22C7B"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Equatorial Guinea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D41F0C3" w14:textId="6A67B39C"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3D43DD34" w14:paraId="6651F251"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3EAFAEF" w14:textId="7FAFE62C"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Eritrea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2FD16B9" w14:textId="5CE3B1F3"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3D43DD34" w14:paraId="187E8834"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631C8BF" w14:textId="62853F01"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Estonia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D36BCA5" w14:textId="3B717B38"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1A8CF095"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950AABA" w14:textId="2F38BD77"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Eswatini</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5965BD9" w14:textId="47C6B990"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3D43DD34" w14:paraId="13F4BF96"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FD32F7E" w14:textId="6C4EB75A"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Ethiopia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C11CAB8" w14:textId="1FC0D191"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3D43DD34" w14:paraId="46E76F73"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38BE969" w14:textId="590E6F22"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Faroe Islands</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EF4CE87" w14:textId="5FC7AFCC"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79ECE664"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F5285ED" w14:textId="11C78F95"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Fiji</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1E62D6D" w14:textId="4040CA9F"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298E04F0"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82F00FD" w14:textId="20547DD5"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Finland</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AA802D6" w14:textId="46081867"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41FC1968"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4666CF9" w14:textId="370A3024"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France</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9A9D517" w14:textId="2FDEBA55"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20A62A06"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E51546E" w14:textId="6E6AE1F1"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Gabon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3FDCC07" w14:textId="7B51316B"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3D43DD34" w14:paraId="2AE78257"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1FFBA21" w14:textId="20E1F3E4"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Gambia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AB219A4" w14:textId="6E1A0BD8"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3D43DD34" w14:paraId="0CDC1BD4"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B83EF1A" w14:textId="53CACCF8"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Georgia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5838437" w14:textId="58B0741B"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48AC536C"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F941DCE" w14:textId="78ACB5F9"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Germany</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903A2D9" w14:textId="33B1DC80"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626412EB"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EA02674" w14:textId="647D4BB1"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Ghana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717AA79" w14:textId="75E397F4"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3D43DD34" w14:paraId="6FB3FE4B"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D866E10" w14:textId="4F48EEF9" w:rsidR="3D43DD34" w:rsidRDefault="3D43DD34"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Gibraltar</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B2891E8" w14:textId="2CBC5F37" w:rsidR="3D43DD34" w:rsidRDefault="3D43DD34"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7A8A4B14"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D639C7F" w14:textId="60264AD0"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Greece</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AEE762C" w14:textId="7E5E8B7F"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665B66B5"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A1B5D20" w14:textId="704E2BC8"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Grenada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F707CB3" w14:textId="50E419AC"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765C5E47"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335FF4B" w14:textId="474B18D9"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Guam</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7273469" w14:textId="0B547E5D"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2CE4F944"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8A35E9E" w14:textId="319AB245"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Guatemala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B97787D" w14:textId="58205906"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4A913E1F"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BE8CDF3" w14:textId="749E675D"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Guinea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2AC4DA9" w14:textId="4D6F7E36"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7F927C30"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0ABB3C6" w14:textId="2B9CDA5A"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Guinea-Bissau</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7A757E4" w14:textId="0973B0C7"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24889B43"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86B4B3E" w14:textId="6FE04410"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Guyana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0B461FB" w14:textId="59A65027"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4D8ECFAE"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C1BAF0B" w14:textId="16BFD7AF"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Haiti</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32C5E1E" w14:textId="25A4D8F1"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0A6321A4"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B2F0FD3" w14:textId="270E2830"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Honduras</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C26BAF7" w14:textId="5DFD9B1D"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53E8F8AD"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D280331" w14:textId="2CE653EF"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Hong Kong</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E539160" w14:textId="6AAA80E8"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3FBFBFF1"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BC92023" w14:textId="30B41475"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Hungary</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5EDAD76" w14:textId="103119AD"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16945236"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DDF6742" w14:textId="5050696B"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lastRenderedPageBreak/>
              <w:t>Iceland</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48818AC" w14:textId="0488A3E2"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3DF6F575"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1D0D4EC" w14:textId="7301729D"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India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9E3C8C4" w14:textId="4CEE3749"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1</w:t>
            </w:r>
          </w:p>
        </w:tc>
      </w:tr>
      <w:tr w:rsidR="004E2CC6" w14:paraId="20B404A7"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E909B4F" w14:textId="4A9E3DBD"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Indonesia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01A0893" w14:textId="0242BCE8"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2D546C15"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C1CE9CF" w14:textId="58D03DCB"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Iraq</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5B15999" w14:textId="62CD34B6"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5F0377F2"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D8340E7" w14:textId="5092299E"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Ireland</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3177569" w14:textId="25EAAC25"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00EB88E8"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AD9EC06" w14:textId="66D31252"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Israel</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12FBEC7" w14:textId="30C8B9A1"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063D8078"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A5A0BC9" w14:textId="78EF6567"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Italy</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ACC6FF8" w14:textId="3675085F"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71C92806"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6CD8F9B" w14:textId="1B6DA3F2"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Ivory Coast</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AB62FF8" w14:textId="59F84D1C"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2784819F"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924699E" w14:textId="5FAEB771"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Jamaica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7FA0BD1" w14:textId="092F9A07"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32B3D42D"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80F1A9B" w14:textId="399E6700"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Japan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EFCB24F" w14:textId="5CDFD2A7"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56662878"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8AB4048" w14:textId="722A2964"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Jordan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E72A925" w14:textId="75217B03"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004AB1DC"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E54621F" w14:textId="6341FC43"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Kazakstan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1BBE23E" w14:textId="063656ED"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6DE375B8"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8FF994A" w14:textId="497A36C9"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Kenya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87581A0" w14:textId="0E7AD276"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1D54B324"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AFAD402" w14:textId="313F7C9B"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Kiribati</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7F9E8F7" w14:textId="6047DAF0"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0B7F6DCD"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B81A41E" w14:textId="0A5639BA"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Kuwait</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CC3414C" w14:textId="4EB2E002"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404FF996"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7B95407" w14:textId="5EB51F72"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Kyrgyzstan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CDA8F23" w14:textId="1F3D4E9C"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4FA64DE9"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A9B2139" w14:textId="50F761C8"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Laos</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FF0B99C" w14:textId="6AA6764E"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463A44D9"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A5A74CC" w14:textId="44FF445D"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Latvia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2B4320D" w14:textId="49620B4D"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62AF9E03"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81E5189" w14:textId="44FC2C72"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Lebanon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F2FE7D1" w14:textId="0EA6486A"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09327D8C"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B7D64AB" w14:textId="2C9D52EA"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Lesotho</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BA355E8" w14:textId="6EA3B114"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273A9114"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1C2559C" w14:textId="13131659"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Liberia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023A851" w14:textId="4F5EDD45"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541BCF48"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158EDAE" w14:textId="24C1C407"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Libya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F816123" w14:textId="23262A2B"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2B291686"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23D3CDA" w14:textId="647EDB9F"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Liechtenstein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F397933" w14:textId="627E174A"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7B50FF8E"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9324802" w14:textId="1894E5EE"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Lithuania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221FD42" w14:textId="3F415695"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12F1CE8D"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87D04A3" w14:textId="41189344"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Luxembourg</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B777541" w14:textId="4A6A4334"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4E8C85FF"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21B13EC" w14:textId="61AC322C"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Macao</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B53ECED" w14:textId="7336BE49"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76500E3C"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0CFD73F" w14:textId="2379A06C"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Madagascar</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85061E9" w14:textId="4446AC7D"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2BD5FDB0"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D40DBFD" w14:textId="3FC25178"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Malawi</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1314EAE" w14:textId="7C8CD6A8"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4F501C9A"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329FC7A" w14:textId="12454256"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lastRenderedPageBreak/>
              <w:t>Malaysia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6C2A482" w14:textId="78AA4AD0"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6C18D2BA"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A2364E4" w14:textId="34894E67"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Maldives</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6D14F98" w14:textId="7624A954"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57018856"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B0AE63D" w14:textId="29627DBC"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Mali</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ABA03DF" w14:textId="0478060D"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5FD121AF"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CD4D3BB" w14:textId="336DC8F2"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Malta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1D43154" w14:textId="67C2817B"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1E7533D7"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6AF59ED" w14:textId="6AB210E2"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Marshall Islands</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F9FB9F6" w14:textId="197E515C"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662B0A6E"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3DD27C4" w14:textId="17702B62"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Mauritania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C777D56" w14:textId="541D618D"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7414D86C"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6ED52E9" w14:textId="1FDE26E1"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Mauritius</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CED4A57" w14:textId="41C93395"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46F9074B"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6EA5CFD" w14:textId="6D2DAC70"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Mexico</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462E671" w14:textId="22BFD0A6"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1</w:t>
            </w:r>
          </w:p>
        </w:tc>
      </w:tr>
      <w:tr w:rsidR="004E2CC6" w14:paraId="0C9A09BC"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A914FD6" w14:textId="25766BA9"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Micronesia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060CCB8" w14:textId="4B3432A7"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2BD79423"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74968A3" w14:textId="7D1E6B55"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Moldova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DE69FFE" w14:textId="492B27E6"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012E011E"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6CB4EB0" w14:textId="6B3B06A0"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Monaco</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5E43DC8" w14:textId="312DE9ED"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41CF50A1"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9DA9769" w14:textId="7EFB4CE3"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Mongolia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131173A" w14:textId="63AAF863"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2E6D03CB"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FB158B6" w14:textId="1537FC9A"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Montenegro</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8B429E5" w14:textId="4A75F316"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3C91EF9E"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D24329B" w14:textId="2BC7AD5B"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Morocco</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551AA76" w14:textId="3EDE93ED"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2B15710A"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3E23CD7" w14:textId="061B19E4"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Mozambique</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16DD78A" w14:textId="610BA8D2"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3D664581"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DC89F4B" w14:textId="35E7DA3E"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Myanmar</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27BFE7A" w14:textId="61B6313B"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76BBE3BE"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C945365" w14:textId="747509B8"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Namibia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1C1B1B1" w14:textId="0A7AF4E4"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66BBD6E0"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3EDF763" w14:textId="7B3CAD77"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Nauru</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FFAF147" w14:textId="275D6BE7"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0EE66FA5"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33FD0E2" w14:textId="38E66AA1"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Nepal</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D660C60" w14:textId="51936DEC"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1810DA59"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E82AF8F" w14:textId="5D26D0C2"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Netherland Antilles</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BC55173" w14:textId="31F40C98"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66D9D1F4"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F093CA0" w14:textId="16C82382"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Netherlands</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302E013" w14:textId="00C363C1"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5B07A0EC"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E04A54E" w14:textId="5C2B3E3C"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New Zealand</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82F0599" w14:textId="4097BB45"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4E0E12E2"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800D5B0" w14:textId="248294BE"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Nicaragua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D78C9AB" w14:textId="17948011"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68C77B53"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53E8F97" w14:textId="594A7987"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Niger</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A6D743E" w14:textId="3FC1D4B3"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6BCA26EB"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6740A6C" w14:textId="32D2AF4D"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Nigeria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A21E181" w14:textId="1494E408"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11232D4D"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02D0BAC" w14:textId="32363FE0"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North Macedonia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DAB98E2" w14:textId="58366DEE"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2FEE13C6"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B184334" w14:textId="72BBADB2"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Norway</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C2666BC" w14:textId="105F07FD"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554D344A"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5FFD4AA" w14:textId="3CF5BFBB"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Oman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E3ADEF0" w14:textId="54C8E679"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0C6473AD"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6F9A692" w14:textId="0E303227"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lastRenderedPageBreak/>
              <w:t>Pakistan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1897119" w14:textId="395C2012"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6C90060F"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513893C" w14:textId="2903137E"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Palau</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E27F7B4" w14:textId="4F4EA4AF"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0215F848"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2117D4D" w14:textId="7480645A"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Palestine</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6E966A7" w14:textId="3CBCC8A3"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7D9B80F5"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EF5D109" w14:textId="45139FA4"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Panama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BECE593" w14:textId="6071C1BF"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5829E46F"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F718212" w14:textId="58D8137A"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Papua New Guinea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9779031" w14:textId="0B5B21B4"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6D6409C7"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55E9151" w14:textId="2FF4D9B2"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Paraguay</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5417D28" w14:textId="292971A8"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3C91BC31"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4F03B80" w14:textId="54803334"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Peru</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2621C52" w14:textId="0C9D3EA1"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627D8C08"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C439046" w14:textId="2D1AC1AF"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Philippines</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7CD7945" w14:textId="6ABC90ED"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1</w:t>
            </w:r>
          </w:p>
        </w:tc>
      </w:tr>
      <w:tr w:rsidR="004E2CC6" w14:paraId="025A9B09"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AF65EEF" w14:textId="1ED39784"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Poland</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7338A89" w14:textId="5E0D3182"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23F008C7"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87F9494" w14:textId="689E24B5"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Portugal</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E2A8D37" w14:textId="28E18BF1"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64C8029A"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BC51E86" w14:textId="1289A8E6"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Puerto Rico</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0721A4E" w14:textId="0510F02A"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236EC2B2"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1C6C70E" w14:textId="4F7BE5BE"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Qatar</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1ED0840" w14:textId="57B17B93"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49AFC455"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6275120" w14:textId="4E6408C2"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Romania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AE3A46A" w14:textId="13FE545F"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70D54F75"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86633A5" w14:textId="18F26283"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Rwanda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6A116FD" w14:textId="6B14D9D3"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7CAD7F13"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B32FA14" w14:textId="77A6F319"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Saint Lucia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CAB9B16" w14:textId="69FDB321"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6146E2EE"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7003B88" w14:textId="288AF044"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Saint Vincent and The Grenadines</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B2D9AD9" w14:textId="527FC37E"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5E2FD1C9"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B220887" w14:textId="4191E442"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Samoa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145CF57" w14:textId="20F4FE3C"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0805D1B8"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DE1FF40" w14:textId="7058D979"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San Marino</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B429D45" w14:textId="471B4C06"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5510F0BB"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8DEFC40" w14:textId="299297EE"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Saudi Arabia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CEDDF79" w14:textId="3246484A"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690A1CF7"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CC8E654" w14:textId="12645ED1"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Senegal</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1BD9567" w14:textId="3025936B"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763EE7A2"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5954F91" w14:textId="7320407B"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Serbia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369D682" w14:textId="11696445"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10CFD584"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5C59251" w14:textId="756D2235"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Seychelles</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70EDC8B" w14:textId="2EA8CC14"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7D6E2A9A"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AB7BE13" w14:textId="3EC56323"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Sierra Leone</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4ADE1BA" w14:textId="7F81D5D3"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26DAE54B"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2A1206F" w14:textId="7BAC4A71"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Singapore</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B7DC64C" w14:textId="6716B66D"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5C5E5616"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9AAD7D6" w14:textId="4E50F4E5"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Slovakia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ED9AA1E" w14:textId="49E17098"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5820C1BA"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47E7429" w14:textId="43AB71B5"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Slovenia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37D985E" w14:textId="68CA9C5B"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10BEFBD8"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E98D031" w14:textId="272E1AE9"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Solomon Islands</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493317E" w14:textId="44384D41"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1A0056E8"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7C0AC68" w14:textId="613D7EA3"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Somalia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FBAC3FA" w14:textId="456B35FA"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6D993BC6"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0DE03CA" w14:textId="266154A8"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lastRenderedPageBreak/>
              <w:t>South Africa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2E10AEF" w14:textId="415AD7D9"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479D9022"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75C4B03" w14:textId="7D95B054"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South Korea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C5879C7" w14:textId="2E5FC4E2"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75341133"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0471434" w14:textId="41FC1C73"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Spain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3C8A32F" w14:textId="3EAEA901"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3EEC9344"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A02D58C" w14:textId="1C2E5F27"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Sri Lanka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FA95E5A" w14:textId="727F3A09"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30A68CD0"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A8ADE01" w14:textId="2AEE4AF2"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Suriname</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79CF8AC" w14:textId="1C741306"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0FBE149C"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E69447A" w14:textId="2ABCD5C8"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Sweden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749D47E" w14:textId="34EE9CE0"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7713DE36"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F26C2D6" w14:textId="77507914"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Switzerland</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6A24AE8" w14:textId="2BBA2F08"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1634CA67"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C126729" w14:textId="5FA5D74A"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Taiwan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A8C8FE7" w14:textId="764B3D42"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445030A0"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896001C" w14:textId="47F0F41D"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Tajikistan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42AF972" w14:textId="6A509016"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729C8807"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8295CFF" w14:textId="3E8B7655"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Tanzania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B14EFE0" w14:textId="5955DF89"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7E54F74C"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42F360C" w14:textId="565A7F1A"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Thailand</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2DFE2C9F" w14:textId="4A2F9E00"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0F6FAF6C"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79F9302" w14:textId="22EB4C30"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Timor-Leste</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E08AAFA" w14:textId="406365E6"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6AF2B0A9"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FCDA6E2" w14:textId="490DCF78"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Togo</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A42F96F" w14:textId="0A67FBAB"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0FABD5DC"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EEE6ED9" w14:textId="5E187075"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Tonga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119E934" w14:textId="777D9E60"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70293600"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3E4FB8C" w14:textId="727AFE5C"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Trinidad and Tobago</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12BB850" w14:textId="1DFE73C5"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520BDEFE"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95F7789" w14:textId="7644CCBB"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Tunisia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20499BF" w14:textId="669AD735"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61C86332"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73ED2A0" w14:textId="52FF4204"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Turkey</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68A58C3" w14:textId="4C84AD26"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16BB7A09"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B7178A9" w14:textId="4AFBD00A"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Turkmenistan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85FB42B" w14:textId="06B25113"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5BF9BCDE"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1DAE23B" w14:textId="17041CA5"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Tuvalu</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BC612E8" w14:textId="04AFA7B7"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48D6E75E"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149C7DF" w14:textId="60F5FD4C"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UAE</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DE9EE5A" w14:textId="0E877D31"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1BC8028C"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5006298" w14:textId="1CD1234C"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Uganda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9ECD57D" w14:textId="2B2BE952"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3BF75F8C"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C75E50F" w14:textId="527C8240"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Ukraine</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C33E42A" w14:textId="7662CFE2"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62483166"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F82EA3E" w14:textId="47FEE922"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United Kingdom</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6CDA55B" w14:textId="2BFF5558"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1</w:t>
            </w:r>
          </w:p>
        </w:tc>
      </w:tr>
      <w:tr w:rsidR="004E2CC6" w14:paraId="6BF8908F"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E5272D0" w14:textId="45DC1F48"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United States</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461B908" w14:textId="72175D4A"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76AEAB24"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CB6288A" w14:textId="3C050BB5"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Uruguay</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AD399AF" w14:textId="74636005"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3562F664"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B35B58D" w14:textId="56E62ED8"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US Virgin Islands</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0F97D8B" w14:textId="2FAB25AC"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30B07E3F"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467DA54E" w14:textId="138771E0"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Uzbekistan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8AF6969" w14:textId="7C6B8345"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695975B6"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4E04930" w14:textId="33CB1F33"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Vanuatu</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695A78F" w14:textId="3D57280E"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3</w:t>
            </w:r>
          </w:p>
        </w:tc>
      </w:tr>
      <w:tr w:rsidR="004E2CC6" w14:paraId="5B12D9F2"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83E19CF" w14:textId="7FA09D5D"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lastRenderedPageBreak/>
              <w:t>Vietnam</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D063535" w14:textId="5F0F7884"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0CD628F7"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95071A9" w14:textId="6688FCD2"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Yemen</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6CF32F08" w14:textId="363C264C"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4AEFC24E"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07D2A298" w14:textId="64617F84"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Zambia</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4F4982B" w14:textId="5BA5A11F"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406828FD"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3B932FD6" w14:textId="67C9251D" w:rsidR="004E2CC6" w:rsidRDefault="004E2CC6" w:rsidP="3D43DD34">
            <w:pPr>
              <w:rPr>
                <w:rFonts w:ascii="Lato" w:eastAsia="Lato" w:hAnsi="Lato" w:cs="Lato"/>
                <w:color w:val="000000" w:themeColor="text1"/>
                <w:sz w:val="20"/>
                <w:szCs w:val="20"/>
              </w:rPr>
            </w:pPr>
            <w:r w:rsidRPr="3D43DD34">
              <w:rPr>
                <w:rFonts w:ascii="Lato" w:eastAsia="Lato" w:hAnsi="Lato" w:cs="Lato"/>
                <w:color w:val="000000" w:themeColor="text1"/>
                <w:sz w:val="20"/>
                <w:szCs w:val="20"/>
              </w:rPr>
              <w:t>Zimbabwe</w:t>
            </w: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5504496F" w14:textId="166CE6E5" w:rsidR="004E2CC6" w:rsidRDefault="004E2CC6" w:rsidP="3D43DD34">
            <w:pPr>
              <w:jc w:val="center"/>
              <w:rPr>
                <w:rFonts w:ascii="Lato" w:eastAsia="Lato" w:hAnsi="Lato" w:cs="Lato"/>
                <w:color w:val="000000" w:themeColor="text1"/>
                <w:sz w:val="20"/>
                <w:szCs w:val="20"/>
              </w:rPr>
            </w:pPr>
            <w:r w:rsidRPr="3D43DD34">
              <w:rPr>
                <w:rFonts w:ascii="Lato" w:eastAsia="Lato" w:hAnsi="Lato" w:cs="Lato"/>
                <w:color w:val="000000" w:themeColor="text1"/>
                <w:sz w:val="20"/>
                <w:szCs w:val="20"/>
              </w:rPr>
              <w:t>Tier 2</w:t>
            </w:r>
          </w:p>
        </w:tc>
      </w:tr>
      <w:tr w:rsidR="004E2CC6" w14:paraId="50A16EB7" w14:textId="77777777" w:rsidTr="004E2CC6">
        <w:trPr>
          <w:trHeight w:val="285"/>
        </w:trPr>
        <w:tc>
          <w:tcPr>
            <w:tcW w:w="3735"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7027D259" w14:textId="669476C8" w:rsidR="004E2CC6" w:rsidRDefault="004E2CC6" w:rsidP="3D43DD34">
            <w:pPr>
              <w:rPr>
                <w:rFonts w:ascii="Lato" w:eastAsia="Lato" w:hAnsi="Lato" w:cs="Lato"/>
                <w:color w:val="000000" w:themeColor="text1"/>
                <w:sz w:val="20"/>
                <w:szCs w:val="20"/>
              </w:rPr>
            </w:pPr>
          </w:p>
        </w:tc>
        <w:tc>
          <w:tcPr>
            <w:tcW w:w="2160" w:type="dxa"/>
            <w:tcBorders>
              <w:top w:val="single" w:sz="6" w:space="0" w:color="D5D3D1"/>
              <w:left w:val="single" w:sz="6" w:space="0" w:color="D5D3D1"/>
              <w:bottom w:val="nil"/>
              <w:right w:val="nil"/>
            </w:tcBorders>
            <w:shd w:val="clear" w:color="auto" w:fill="FFFFFF" w:themeFill="background1"/>
            <w:tcMar>
              <w:left w:w="105" w:type="dxa"/>
              <w:right w:w="105" w:type="dxa"/>
            </w:tcMar>
            <w:vAlign w:val="bottom"/>
          </w:tcPr>
          <w:p w14:paraId="1291DF19" w14:textId="16DAE51E" w:rsidR="004E2CC6" w:rsidRDefault="004E2CC6" w:rsidP="3D43DD34">
            <w:pPr>
              <w:jc w:val="center"/>
              <w:rPr>
                <w:rFonts w:ascii="Lato" w:eastAsia="Lato" w:hAnsi="Lato" w:cs="Lato"/>
                <w:color w:val="000000" w:themeColor="text1"/>
                <w:sz w:val="20"/>
                <w:szCs w:val="20"/>
              </w:rPr>
            </w:pPr>
          </w:p>
        </w:tc>
      </w:tr>
    </w:tbl>
    <w:p w14:paraId="5B340EC8" w14:textId="1AF4EC1C" w:rsidR="00791A2E" w:rsidRDefault="00791A2E" w:rsidP="3D43DD34">
      <w:pPr>
        <w:rPr>
          <w:rFonts w:ascii="Lato" w:eastAsia="Lato" w:hAnsi="Lato" w:cs="Lato"/>
          <w:color w:val="636669"/>
          <w:sz w:val="16"/>
          <w:szCs w:val="16"/>
        </w:rPr>
      </w:pPr>
    </w:p>
    <w:sectPr w:rsidR="00791A2E" w:rsidSect="0086525E">
      <w:headerReference w:type="default" r:id="rId12"/>
      <w:footerReference w:type="default" r:id="rId13"/>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ne Jacobs" w:date="2026-07-30T16:29:00Z" w:initials="SJ">
    <w:p w14:paraId="56CC6836" w14:textId="31A568F8" w:rsidR="008C1CB8" w:rsidRDefault="001E554B">
      <w:pPr>
        <w:pStyle w:val="CommentText"/>
        <w:ind w:left="0" w:hanging="2"/>
      </w:pPr>
      <w:r>
        <w:rPr>
          <w:rStyle w:val="CommentReference"/>
        </w:rPr>
        <w:annotationRef/>
      </w:r>
      <w:r w:rsidRPr="1210012D">
        <w:t>8.33% is what is listed.  Would we also list this here?</w:t>
      </w:r>
    </w:p>
  </w:comment>
  <w:comment w:id="1" w:author="Deana Morgan" w:date="2026-07-31T09:52:00Z" w:initials="DM">
    <w:p w14:paraId="415B5DB4" w14:textId="6CE0E072" w:rsidR="008C1CB8" w:rsidRDefault="001E554B">
      <w:pPr>
        <w:pStyle w:val="CommentText"/>
        <w:ind w:left="0" w:hanging="2"/>
      </w:pPr>
      <w:r>
        <w:rPr>
          <w:rStyle w:val="CommentReference"/>
        </w:rPr>
        <w:annotationRef/>
      </w:r>
      <w:r w:rsidRPr="65BC1770">
        <w:t>Correct, but RevOps has not verified whether 8.33% is a hard coded amount for all deals</w:t>
      </w:r>
    </w:p>
  </w:comment>
  <w:comment w:id="2" w:author="Deana Morgan" w:date="2026-07-31T10:11:00Z" w:initials="DM">
    <w:p w14:paraId="51ACF0FC" w14:textId="60A9D3D2" w:rsidR="008C1CB8" w:rsidRDefault="001E554B">
      <w:pPr>
        <w:pStyle w:val="CommentText"/>
        <w:ind w:left="0" w:hanging="2"/>
      </w:pPr>
      <w:r>
        <w:rPr>
          <w:rStyle w:val="CommentReference"/>
        </w:rPr>
        <w:annotationRef/>
      </w:r>
      <w:r w:rsidRPr="47E267A4">
        <w:t>@kellie Please add the Annex to this file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CC6836" w15:done="1"/>
  <w15:commentEx w15:paraId="415B5DB4" w15:paraIdParent="56CC6836" w15:done="1"/>
  <w15:commentEx w15:paraId="51ACF0F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919207" w16cex:dateUtc="2026-07-30T23:29:00Z"/>
  <w16cex:commentExtensible w16cex:durableId="558E5A6B" w16cex:dateUtc="2026-07-31T13:52:00Z"/>
  <w16cex:commentExtensible w16cex:durableId="21067489" w16cex:dateUtc="2026-07-31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CC6836" w16cid:durableId="09919207"/>
  <w16cid:commentId w16cid:paraId="415B5DB4" w16cid:durableId="558E5A6B"/>
  <w16cid:commentId w16cid:paraId="51ACF0FC" w16cid:durableId="210674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D38B3" w14:textId="77777777" w:rsidR="00947310" w:rsidRDefault="00947310" w:rsidP="00142739">
      <w:pPr>
        <w:spacing w:after="0" w:line="240" w:lineRule="auto"/>
      </w:pPr>
      <w:r>
        <w:separator/>
      </w:r>
    </w:p>
  </w:endnote>
  <w:endnote w:type="continuationSeparator" w:id="0">
    <w:p w14:paraId="10F6FA3B" w14:textId="77777777" w:rsidR="00947310" w:rsidRDefault="00947310" w:rsidP="00142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altName w:val="Segoe UI"/>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6395C" w14:textId="07025258" w:rsidR="3D43DD34" w:rsidRDefault="3D43DD34" w:rsidP="3D43DD34">
    <w:pPr>
      <w:pStyle w:val="Footer"/>
      <w:jc w:val="right"/>
    </w:pPr>
    <w:r>
      <w:fldChar w:fldCharType="begin"/>
    </w:r>
    <w:r>
      <w:instrText>PAGE</w:instrText>
    </w:r>
    <w:r>
      <w:fldChar w:fldCharType="separate"/>
    </w:r>
    <w:r w:rsidR="00167388">
      <w:rPr>
        <w:noProof/>
      </w:rPr>
      <w:t>1</w:t>
    </w:r>
    <w:r>
      <w:fldChar w:fldCharType="end"/>
    </w:r>
  </w:p>
  <w:p w14:paraId="6AB5418B" w14:textId="01903E9A" w:rsidR="00142739" w:rsidRPr="00D059AE" w:rsidRDefault="005B17A3" w:rsidP="00412162">
    <w:pPr>
      <w:pStyle w:val="Footer"/>
      <w:rPr>
        <w:rFonts w:ascii="Lato" w:hAnsi="Lato"/>
        <w:color w:val="636669"/>
        <w:sz w:val="16"/>
        <w:szCs w:val="16"/>
      </w:rPr>
    </w:pPr>
    <w:r w:rsidRPr="00D059AE">
      <w:rPr>
        <w:rFonts w:ascii="Lato" w:hAnsi="Lato"/>
        <w:color w:val="636669"/>
        <w:sz w:val="16"/>
        <w:szCs w:val="16"/>
      </w:rPr>
      <w:ptab w:relativeTo="margin" w:alignment="center" w:leader="none"/>
    </w:r>
    <w:r w:rsidRPr="00D059AE">
      <w:rPr>
        <w:rFonts w:ascii="Lato" w:hAnsi="Lato"/>
        <w:color w:val="636669"/>
        <w:sz w:val="16"/>
        <w:szCs w:val="16"/>
      </w:rPr>
      <w:ptab w:relativeTo="margin" w:alignment="right" w:leader="none"/>
    </w:r>
    <w:sdt>
      <w:sdtPr>
        <w:rPr>
          <w:rFonts w:ascii="Lato" w:hAnsi="Lato"/>
          <w:color w:val="636669"/>
          <w:sz w:val="16"/>
          <w:szCs w:val="16"/>
        </w:rPr>
        <w:id w:val="-1769616900"/>
        <w:docPartObj>
          <w:docPartGallery w:val="Page Numbers (Top of Page)"/>
          <w:docPartUnique/>
        </w:docPartObj>
      </w:sdtP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2918C" w14:textId="77777777" w:rsidR="00947310" w:rsidRDefault="00947310" w:rsidP="00142739">
      <w:pPr>
        <w:spacing w:after="0" w:line="240" w:lineRule="auto"/>
      </w:pPr>
      <w:r>
        <w:separator/>
      </w:r>
    </w:p>
  </w:footnote>
  <w:footnote w:type="continuationSeparator" w:id="0">
    <w:p w14:paraId="7E657892" w14:textId="77777777" w:rsidR="00947310" w:rsidRDefault="00947310" w:rsidP="001427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D43DD34" w14:paraId="5B907CD6" w14:textId="77777777" w:rsidTr="3D43DD34">
      <w:trPr>
        <w:trHeight w:val="300"/>
      </w:trPr>
      <w:tc>
        <w:tcPr>
          <w:tcW w:w="3360" w:type="dxa"/>
        </w:tcPr>
        <w:p w14:paraId="39F56C1F" w14:textId="476419FF" w:rsidR="3D43DD34" w:rsidRDefault="3D43DD34" w:rsidP="3D43DD34">
          <w:pPr>
            <w:pStyle w:val="Header"/>
            <w:ind w:left="-115"/>
          </w:pPr>
        </w:p>
      </w:tc>
      <w:tc>
        <w:tcPr>
          <w:tcW w:w="3360" w:type="dxa"/>
        </w:tcPr>
        <w:p w14:paraId="35AC3E85" w14:textId="17CA4212" w:rsidR="3D43DD34" w:rsidRDefault="3D43DD34" w:rsidP="3D43DD34">
          <w:pPr>
            <w:pStyle w:val="Header"/>
            <w:jc w:val="center"/>
          </w:pPr>
        </w:p>
      </w:tc>
      <w:tc>
        <w:tcPr>
          <w:tcW w:w="3360" w:type="dxa"/>
        </w:tcPr>
        <w:p w14:paraId="7F8B9A39" w14:textId="711315DB" w:rsidR="3D43DD34" w:rsidRDefault="3D43DD34" w:rsidP="3D43DD34">
          <w:pPr>
            <w:pStyle w:val="Header"/>
            <w:ind w:right="-115"/>
            <w:jc w:val="right"/>
          </w:pPr>
        </w:p>
      </w:tc>
    </w:tr>
  </w:tbl>
  <w:p w14:paraId="4BA062F1" w14:textId="2DE03E0A" w:rsidR="3D43DD34" w:rsidRDefault="3D43DD34" w:rsidP="3D43DD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71C0"/>
    <w:multiLevelType w:val="hybridMultilevel"/>
    <w:tmpl w:val="2F1A5252"/>
    <w:lvl w:ilvl="0" w:tplc="294EE9EC">
      <w:numFmt w:val="bullet"/>
      <w:lvlText w:val="·"/>
      <w:lvlJc w:val="left"/>
      <w:pPr>
        <w:ind w:left="1080" w:hanging="360"/>
      </w:pPr>
      <w:rPr>
        <w:rFonts w:ascii="Lato" w:eastAsia="Times New Roman" w:hAnsi="Lato"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983E17"/>
    <w:multiLevelType w:val="multilevel"/>
    <w:tmpl w:val="77EA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9B021F"/>
    <w:multiLevelType w:val="multilevel"/>
    <w:tmpl w:val="FF7E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E24B81"/>
    <w:multiLevelType w:val="hybridMultilevel"/>
    <w:tmpl w:val="15C2000A"/>
    <w:lvl w:ilvl="0" w:tplc="D38414C6">
      <w:start w:val="1"/>
      <w:numFmt w:val="bullet"/>
      <w:lvlText w:val="-"/>
      <w:lvlJc w:val="left"/>
      <w:pPr>
        <w:ind w:left="362" w:hanging="360"/>
      </w:pPr>
      <w:rPr>
        <w:rFonts w:ascii="Aptos" w:hAnsi="Aptos" w:hint="default"/>
      </w:rPr>
    </w:lvl>
    <w:lvl w:ilvl="1" w:tplc="71401344">
      <w:start w:val="1"/>
      <w:numFmt w:val="bullet"/>
      <w:lvlText w:val="o"/>
      <w:lvlJc w:val="left"/>
      <w:pPr>
        <w:ind w:left="1440" w:hanging="360"/>
      </w:pPr>
      <w:rPr>
        <w:rFonts w:ascii="Courier New" w:hAnsi="Courier New" w:hint="default"/>
      </w:rPr>
    </w:lvl>
    <w:lvl w:ilvl="2" w:tplc="704C76AA">
      <w:start w:val="1"/>
      <w:numFmt w:val="bullet"/>
      <w:lvlText w:val=""/>
      <w:lvlJc w:val="left"/>
      <w:pPr>
        <w:ind w:left="2160" w:hanging="360"/>
      </w:pPr>
      <w:rPr>
        <w:rFonts w:ascii="Wingdings" w:hAnsi="Wingdings" w:hint="default"/>
      </w:rPr>
    </w:lvl>
    <w:lvl w:ilvl="3" w:tplc="E0E0AD36">
      <w:start w:val="1"/>
      <w:numFmt w:val="bullet"/>
      <w:lvlText w:val=""/>
      <w:lvlJc w:val="left"/>
      <w:pPr>
        <w:ind w:left="2880" w:hanging="360"/>
      </w:pPr>
      <w:rPr>
        <w:rFonts w:ascii="Symbol" w:hAnsi="Symbol" w:hint="default"/>
      </w:rPr>
    </w:lvl>
    <w:lvl w:ilvl="4" w:tplc="5ABEAC52">
      <w:start w:val="1"/>
      <w:numFmt w:val="bullet"/>
      <w:lvlText w:val="o"/>
      <w:lvlJc w:val="left"/>
      <w:pPr>
        <w:ind w:left="3600" w:hanging="360"/>
      </w:pPr>
      <w:rPr>
        <w:rFonts w:ascii="Courier New" w:hAnsi="Courier New" w:hint="default"/>
      </w:rPr>
    </w:lvl>
    <w:lvl w:ilvl="5" w:tplc="70608EFA">
      <w:start w:val="1"/>
      <w:numFmt w:val="bullet"/>
      <w:lvlText w:val=""/>
      <w:lvlJc w:val="left"/>
      <w:pPr>
        <w:ind w:left="4320" w:hanging="360"/>
      </w:pPr>
      <w:rPr>
        <w:rFonts w:ascii="Wingdings" w:hAnsi="Wingdings" w:hint="default"/>
      </w:rPr>
    </w:lvl>
    <w:lvl w:ilvl="6" w:tplc="9ED2614C">
      <w:start w:val="1"/>
      <w:numFmt w:val="bullet"/>
      <w:lvlText w:val=""/>
      <w:lvlJc w:val="left"/>
      <w:pPr>
        <w:ind w:left="5040" w:hanging="360"/>
      </w:pPr>
      <w:rPr>
        <w:rFonts w:ascii="Symbol" w:hAnsi="Symbol" w:hint="default"/>
      </w:rPr>
    </w:lvl>
    <w:lvl w:ilvl="7" w:tplc="FD0E9282">
      <w:start w:val="1"/>
      <w:numFmt w:val="bullet"/>
      <w:lvlText w:val="o"/>
      <w:lvlJc w:val="left"/>
      <w:pPr>
        <w:ind w:left="5760" w:hanging="360"/>
      </w:pPr>
      <w:rPr>
        <w:rFonts w:ascii="Courier New" w:hAnsi="Courier New" w:hint="default"/>
      </w:rPr>
    </w:lvl>
    <w:lvl w:ilvl="8" w:tplc="ECE227C0">
      <w:start w:val="1"/>
      <w:numFmt w:val="bullet"/>
      <w:lvlText w:val=""/>
      <w:lvlJc w:val="left"/>
      <w:pPr>
        <w:ind w:left="6480" w:hanging="360"/>
      </w:pPr>
      <w:rPr>
        <w:rFonts w:ascii="Wingdings" w:hAnsi="Wingdings" w:hint="default"/>
      </w:rPr>
    </w:lvl>
  </w:abstractNum>
  <w:abstractNum w:abstractNumId="4" w15:restartNumberingAfterBreak="0">
    <w:nsid w:val="2C532F71"/>
    <w:multiLevelType w:val="multilevel"/>
    <w:tmpl w:val="20583CFA"/>
    <w:styleLink w:val="ListStyle1"/>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E0F2A49"/>
    <w:multiLevelType w:val="multilevel"/>
    <w:tmpl w:val="20583CFA"/>
    <w:numStyleLink w:val="ListStyle1"/>
  </w:abstractNum>
  <w:abstractNum w:abstractNumId="6" w15:restartNumberingAfterBreak="0">
    <w:nsid w:val="36103A51"/>
    <w:multiLevelType w:val="hybridMultilevel"/>
    <w:tmpl w:val="3A74DAD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39BE69DC"/>
    <w:multiLevelType w:val="hybridMultilevel"/>
    <w:tmpl w:val="D2FEEECE"/>
    <w:lvl w:ilvl="0" w:tplc="04090001">
      <w:start w:val="1"/>
      <w:numFmt w:val="bullet"/>
      <w:lvlText w:val=""/>
      <w:lvlJc w:val="left"/>
      <w:pPr>
        <w:ind w:left="718" w:hanging="360"/>
      </w:pPr>
      <w:rPr>
        <w:rFonts w:ascii="Symbol" w:hAnsi="Symbol" w:hint="default"/>
      </w:rPr>
    </w:lvl>
    <w:lvl w:ilvl="1" w:tplc="04090003">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8" w15:restartNumberingAfterBreak="0">
    <w:nsid w:val="463D4879"/>
    <w:multiLevelType w:val="hybridMultilevel"/>
    <w:tmpl w:val="1ED40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B46E7E"/>
    <w:multiLevelType w:val="multilevel"/>
    <w:tmpl w:val="4BC0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103B1D"/>
    <w:multiLevelType w:val="hybridMultilevel"/>
    <w:tmpl w:val="FC864A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89610D"/>
    <w:multiLevelType w:val="hybridMultilevel"/>
    <w:tmpl w:val="8DA4339C"/>
    <w:lvl w:ilvl="0" w:tplc="40E290C2">
      <w:start w:val="1"/>
      <w:numFmt w:val="decimal"/>
      <w:lvlText w:val="%1)"/>
      <w:lvlJc w:val="left"/>
      <w:pPr>
        <w:ind w:left="720" w:hanging="360"/>
      </w:pPr>
    </w:lvl>
    <w:lvl w:ilvl="1" w:tplc="C8BA07B4">
      <w:start w:val="1"/>
      <w:numFmt w:val="lowerLetter"/>
      <w:lvlText w:val="%2."/>
      <w:lvlJc w:val="left"/>
      <w:pPr>
        <w:ind w:left="1440" w:hanging="360"/>
      </w:pPr>
    </w:lvl>
    <w:lvl w:ilvl="2" w:tplc="D846B48E">
      <w:start w:val="1"/>
      <w:numFmt w:val="lowerRoman"/>
      <w:lvlText w:val="%3."/>
      <w:lvlJc w:val="right"/>
      <w:pPr>
        <w:ind w:left="2160" w:hanging="180"/>
      </w:pPr>
    </w:lvl>
    <w:lvl w:ilvl="3" w:tplc="578AC0DA">
      <w:start w:val="1"/>
      <w:numFmt w:val="decimal"/>
      <w:lvlText w:val="%4."/>
      <w:lvlJc w:val="left"/>
      <w:pPr>
        <w:ind w:left="2880" w:hanging="360"/>
      </w:pPr>
    </w:lvl>
    <w:lvl w:ilvl="4" w:tplc="142A138C">
      <w:start w:val="1"/>
      <w:numFmt w:val="lowerLetter"/>
      <w:lvlText w:val="%5."/>
      <w:lvlJc w:val="left"/>
      <w:pPr>
        <w:ind w:left="3600" w:hanging="360"/>
      </w:pPr>
    </w:lvl>
    <w:lvl w:ilvl="5" w:tplc="2E9450F0">
      <w:start w:val="1"/>
      <w:numFmt w:val="lowerRoman"/>
      <w:lvlText w:val="%6."/>
      <w:lvlJc w:val="right"/>
      <w:pPr>
        <w:ind w:left="4320" w:hanging="180"/>
      </w:pPr>
    </w:lvl>
    <w:lvl w:ilvl="6" w:tplc="930497DA">
      <w:start w:val="1"/>
      <w:numFmt w:val="decimal"/>
      <w:lvlText w:val="%7."/>
      <w:lvlJc w:val="left"/>
      <w:pPr>
        <w:ind w:left="5040" w:hanging="360"/>
      </w:pPr>
    </w:lvl>
    <w:lvl w:ilvl="7" w:tplc="2222DA6A">
      <w:start w:val="1"/>
      <w:numFmt w:val="lowerLetter"/>
      <w:lvlText w:val="%8."/>
      <w:lvlJc w:val="left"/>
      <w:pPr>
        <w:ind w:left="5760" w:hanging="360"/>
      </w:pPr>
    </w:lvl>
    <w:lvl w:ilvl="8" w:tplc="A20E9E9C">
      <w:start w:val="1"/>
      <w:numFmt w:val="lowerRoman"/>
      <w:lvlText w:val="%9."/>
      <w:lvlJc w:val="right"/>
      <w:pPr>
        <w:ind w:left="6480" w:hanging="180"/>
      </w:pPr>
    </w:lvl>
  </w:abstractNum>
  <w:abstractNum w:abstractNumId="12" w15:restartNumberingAfterBreak="0">
    <w:nsid w:val="5FEF26F0"/>
    <w:multiLevelType w:val="multilevel"/>
    <w:tmpl w:val="ED42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1A3C17"/>
    <w:multiLevelType w:val="hybridMultilevel"/>
    <w:tmpl w:val="A1EEA3C0"/>
    <w:lvl w:ilvl="0" w:tplc="294EE9EC">
      <w:numFmt w:val="bullet"/>
      <w:lvlText w:val="·"/>
      <w:lvlJc w:val="left"/>
      <w:pPr>
        <w:ind w:left="720" w:hanging="360"/>
      </w:pPr>
      <w:rPr>
        <w:rFonts w:ascii="Lato" w:eastAsia="Times New Roman" w:hAnsi="Lato"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8E2AE9"/>
    <w:multiLevelType w:val="multilevel"/>
    <w:tmpl w:val="B330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976BB3"/>
    <w:multiLevelType w:val="multilevel"/>
    <w:tmpl w:val="E81C2E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752570A"/>
    <w:multiLevelType w:val="multilevel"/>
    <w:tmpl w:val="A52A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2707513">
    <w:abstractNumId w:val="11"/>
  </w:num>
  <w:num w:numId="2" w16cid:durableId="1604222802">
    <w:abstractNumId w:val="3"/>
  </w:num>
  <w:num w:numId="3" w16cid:durableId="102044397">
    <w:abstractNumId w:val="10"/>
  </w:num>
  <w:num w:numId="4" w16cid:durableId="696006663">
    <w:abstractNumId w:val="5"/>
  </w:num>
  <w:num w:numId="5" w16cid:durableId="198933988">
    <w:abstractNumId w:val="4"/>
  </w:num>
  <w:num w:numId="6" w16cid:durableId="1781679263">
    <w:abstractNumId w:val="14"/>
  </w:num>
  <w:num w:numId="7" w16cid:durableId="340857065">
    <w:abstractNumId w:val="16"/>
  </w:num>
  <w:num w:numId="8" w16cid:durableId="533422966">
    <w:abstractNumId w:val="2"/>
  </w:num>
  <w:num w:numId="9" w16cid:durableId="69473633">
    <w:abstractNumId w:val="9"/>
  </w:num>
  <w:num w:numId="10" w16cid:durableId="748307305">
    <w:abstractNumId w:val="1"/>
  </w:num>
  <w:num w:numId="11" w16cid:durableId="441655572">
    <w:abstractNumId w:val="8"/>
  </w:num>
  <w:num w:numId="12" w16cid:durableId="1297446646">
    <w:abstractNumId w:val="13"/>
  </w:num>
  <w:num w:numId="13" w16cid:durableId="1881895486">
    <w:abstractNumId w:val="0"/>
  </w:num>
  <w:num w:numId="14" w16cid:durableId="40516168">
    <w:abstractNumId w:val="6"/>
  </w:num>
  <w:num w:numId="15" w16cid:durableId="104085696">
    <w:abstractNumId w:val="12"/>
  </w:num>
  <w:num w:numId="16" w16cid:durableId="1461730103">
    <w:abstractNumId w:val="15"/>
  </w:num>
  <w:num w:numId="17" w16cid:durableId="209840554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ne Jacobs">
    <w15:presenceInfo w15:providerId="AD" w15:userId="S::shane.jacobs@prismhr.com::537543ea-afba-43fa-ae17-92ed86a733a4"/>
  </w15:person>
  <w15:person w15:author="Deana Morgan">
    <w15:presenceInfo w15:providerId="AD" w15:userId="S::dmorgan@prismhr.com::cafc3083-8814-4734-ae75-22bfb5f217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25E"/>
    <w:rsid w:val="0009007E"/>
    <w:rsid w:val="000B5AC8"/>
    <w:rsid w:val="000F1087"/>
    <w:rsid w:val="00141FB9"/>
    <w:rsid w:val="00142739"/>
    <w:rsid w:val="00163AC2"/>
    <w:rsid w:val="00167388"/>
    <w:rsid w:val="00175ED6"/>
    <w:rsid w:val="001933E4"/>
    <w:rsid w:val="001A03CA"/>
    <w:rsid w:val="001A15CC"/>
    <w:rsid w:val="001A58C5"/>
    <w:rsid w:val="001E554B"/>
    <w:rsid w:val="001E5791"/>
    <w:rsid w:val="0020059D"/>
    <w:rsid w:val="00202C04"/>
    <w:rsid w:val="00213E03"/>
    <w:rsid w:val="00282E21"/>
    <w:rsid w:val="002C786B"/>
    <w:rsid w:val="0032374C"/>
    <w:rsid w:val="003263A7"/>
    <w:rsid w:val="00342E3A"/>
    <w:rsid w:val="00344CAA"/>
    <w:rsid w:val="003475AA"/>
    <w:rsid w:val="00412162"/>
    <w:rsid w:val="00417339"/>
    <w:rsid w:val="00454E86"/>
    <w:rsid w:val="004826BB"/>
    <w:rsid w:val="004E2CC6"/>
    <w:rsid w:val="004E4E50"/>
    <w:rsid w:val="005743D7"/>
    <w:rsid w:val="00584E0F"/>
    <w:rsid w:val="00584FEC"/>
    <w:rsid w:val="005B17A3"/>
    <w:rsid w:val="00637CBB"/>
    <w:rsid w:val="0067250C"/>
    <w:rsid w:val="006C08FB"/>
    <w:rsid w:val="006C1449"/>
    <w:rsid w:val="0071602F"/>
    <w:rsid w:val="0074471A"/>
    <w:rsid w:val="00791A2E"/>
    <w:rsid w:val="007B0585"/>
    <w:rsid w:val="007D4751"/>
    <w:rsid w:val="007E1C41"/>
    <w:rsid w:val="00846D87"/>
    <w:rsid w:val="008522FB"/>
    <w:rsid w:val="0086525E"/>
    <w:rsid w:val="00871FC5"/>
    <w:rsid w:val="00882E99"/>
    <w:rsid w:val="0089158B"/>
    <w:rsid w:val="0089E345"/>
    <w:rsid w:val="008C1CB8"/>
    <w:rsid w:val="008F50F2"/>
    <w:rsid w:val="00947310"/>
    <w:rsid w:val="00971408"/>
    <w:rsid w:val="00977635"/>
    <w:rsid w:val="009C6DBC"/>
    <w:rsid w:val="009D7A1B"/>
    <w:rsid w:val="00A11EC1"/>
    <w:rsid w:val="00A66079"/>
    <w:rsid w:val="00A726A0"/>
    <w:rsid w:val="00AA280E"/>
    <w:rsid w:val="00AA4D59"/>
    <w:rsid w:val="00AB290C"/>
    <w:rsid w:val="00AE7D2F"/>
    <w:rsid w:val="00B339DA"/>
    <w:rsid w:val="00B5190E"/>
    <w:rsid w:val="00BC191B"/>
    <w:rsid w:val="00BC1D29"/>
    <w:rsid w:val="00C42027"/>
    <w:rsid w:val="00C94FC9"/>
    <w:rsid w:val="00C96781"/>
    <w:rsid w:val="00D059AE"/>
    <w:rsid w:val="00D21363"/>
    <w:rsid w:val="00D411A9"/>
    <w:rsid w:val="00D55B6B"/>
    <w:rsid w:val="00D65075"/>
    <w:rsid w:val="00DB7868"/>
    <w:rsid w:val="00DC6171"/>
    <w:rsid w:val="00DE340B"/>
    <w:rsid w:val="00DE7E57"/>
    <w:rsid w:val="00DF499B"/>
    <w:rsid w:val="00E41E0D"/>
    <w:rsid w:val="00E52510"/>
    <w:rsid w:val="00EB1712"/>
    <w:rsid w:val="00EC578B"/>
    <w:rsid w:val="00F312CB"/>
    <w:rsid w:val="00F40D35"/>
    <w:rsid w:val="00F45B06"/>
    <w:rsid w:val="00FC17A8"/>
    <w:rsid w:val="077DCD66"/>
    <w:rsid w:val="0EF18DE0"/>
    <w:rsid w:val="0FAAE3CE"/>
    <w:rsid w:val="17367408"/>
    <w:rsid w:val="20B05D7C"/>
    <w:rsid w:val="22DCC214"/>
    <w:rsid w:val="24178ED4"/>
    <w:rsid w:val="27BA48C2"/>
    <w:rsid w:val="2880E754"/>
    <w:rsid w:val="28DF5A72"/>
    <w:rsid w:val="2BBDB989"/>
    <w:rsid w:val="2C2A856A"/>
    <w:rsid w:val="2CCD500C"/>
    <w:rsid w:val="326BD2EF"/>
    <w:rsid w:val="32AF50EE"/>
    <w:rsid w:val="32D6A251"/>
    <w:rsid w:val="34368E0E"/>
    <w:rsid w:val="34392EC9"/>
    <w:rsid w:val="379373DF"/>
    <w:rsid w:val="387B2A04"/>
    <w:rsid w:val="38C97663"/>
    <w:rsid w:val="39DCE90F"/>
    <w:rsid w:val="3CEC27A9"/>
    <w:rsid w:val="3D43DD34"/>
    <w:rsid w:val="4188218F"/>
    <w:rsid w:val="4381DD13"/>
    <w:rsid w:val="43BC72C7"/>
    <w:rsid w:val="45694BA8"/>
    <w:rsid w:val="4E028F66"/>
    <w:rsid w:val="517644FF"/>
    <w:rsid w:val="5464B8B6"/>
    <w:rsid w:val="5B9CF3C5"/>
    <w:rsid w:val="5BBE258B"/>
    <w:rsid w:val="5CE9283E"/>
    <w:rsid w:val="5E46E108"/>
    <w:rsid w:val="5EF3C7D5"/>
    <w:rsid w:val="67E85D4B"/>
    <w:rsid w:val="6DA02D9C"/>
    <w:rsid w:val="6EFC9378"/>
    <w:rsid w:val="70652320"/>
    <w:rsid w:val="713C95BD"/>
    <w:rsid w:val="71E91D4C"/>
    <w:rsid w:val="79FE9BC7"/>
    <w:rsid w:val="7E80A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D7433"/>
  <w15:chartTrackingRefBased/>
  <w15:docId w15:val="{408FC7DD-5E27-40F9-B752-66F18D50A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868"/>
  </w:style>
  <w:style w:type="paragraph" w:styleId="Heading1">
    <w:name w:val="heading 1"/>
    <w:basedOn w:val="Normal"/>
    <w:next w:val="Normal"/>
    <w:link w:val="Heading1Char"/>
    <w:uiPriority w:val="9"/>
    <w:qFormat/>
    <w:rsid w:val="008652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2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2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2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652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2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652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6525E"/>
    <w:pPr>
      <w:keepNext/>
      <w:keepLines/>
      <w:spacing w:after="0"/>
      <w:outlineLvl w:val="7"/>
    </w:pPr>
    <w:rPr>
      <w:rFonts w:eastAsiaTheme="majorEastAsia" w:cstheme="majorBidi"/>
      <w:i/>
      <w:iCs/>
      <w:color w:val="272727" w:themeColor="text1" w:themeTint="D8"/>
    </w:rPr>
  </w:style>
  <w:style w:type="paragraph" w:styleId="Heading9">
    <w:name w:val="heading 9"/>
    <w:aliases w:val="Simple (sm) roman numbers"/>
    <w:basedOn w:val="Normal"/>
    <w:next w:val="Normal"/>
    <w:link w:val="Heading9Char"/>
    <w:uiPriority w:val="4"/>
    <w:unhideWhenUsed/>
    <w:qFormat/>
    <w:rsid w:val="008652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2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2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2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2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652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25E"/>
    <w:rPr>
      <w:rFonts w:eastAsiaTheme="majorEastAsia" w:cstheme="majorBidi"/>
      <w:i/>
      <w:iCs/>
      <w:color w:val="595959" w:themeColor="text1" w:themeTint="A6"/>
    </w:rPr>
  </w:style>
  <w:style w:type="character" w:customStyle="1" w:styleId="Heading7Char">
    <w:name w:val="Heading 7 Char"/>
    <w:basedOn w:val="DefaultParagraphFont"/>
    <w:link w:val="Heading7"/>
    <w:rsid w:val="0086525E"/>
    <w:rPr>
      <w:rFonts w:eastAsiaTheme="majorEastAsia" w:cstheme="majorBidi"/>
      <w:color w:val="595959" w:themeColor="text1" w:themeTint="A6"/>
    </w:rPr>
  </w:style>
  <w:style w:type="character" w:customStyle="1" w:styleId="Heading8Char">
    <w:name w:val="Heading 8 Char"/>
    <w:basedOn w:val="DefaultParagraphFont"/>
    <w:link w:val="Heading8"/>
    <w:rsid w:val="0086525E"/>
    <w:rPr>
      <w:rFonts w:eastAsiaTheme="majorEastAsia" w:cstheme="majorBidi"/>
      <w:i/>
      <w:iCs/>
      <w:color w:val="272727" w:themeColor="text1" w:themeTint="D8"/>
    </w:rPr>
  </w:style>
  <w:style w:type="character" w:customStyle="1" w:styleId="Heading9Char">
    <w:name w:val="Heading 9 Char"/>
    <w:aliases w:val="Simple (sm) roman numbers Char"/>
    <w:basedOn w:val="DefaultParagraphFont"/>
    <w:link w:val="Heading9"/>
    <w:uiPriority w:val="4"/>
    <w:rsid w:val="0086525E"/>
    <w:rPr>
      <w:rFonts w:eastAsiaTheme="majorEastAsia" w:cstheme="majorBidi"/>
      <w:color w:val="272727" w:themeColor="text1" w:themeTint="D8"/>
    </w:rPr>
  </w:style>
  <w:style w:type="paragraph" w:styleId="Title">
    <w:name w:val="Title"/>
    <w:basedOn w:val="Normal"/>
    <w:next w:val="Normal"/>
    <w:link w:val="TitleChar"/>
    <w:uiPriority w:val="10"/>
    <w:qFormat/>
    <w:rsid w:val="00865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2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2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25E"/>
    <w:pPr>
      <w:spacing w:before="160"/>
      <w:jc w:val="center"/>
    </w:pPr>
    <w:rPr>
      <w:i/>
      <w:iCs/>
      <w:color w:val="404040" w:themeColor="text1" w:themeTint="BF"/>
    </w:rPr>
  </w:style>
  <w:style w:type="character" w:customStyle="1" w:styleId="QuoteChar">
    <w:name w:val="Quote Char"/>
    <w:basedOn w:val="DefaultParagraphFont"/>
    <w:link w:val="Quote"/>
    <w:uiPriority w:val="29"/>
    <w:rsid w:val="0086525E"/>
    <w:rPr>
      <w:i/>
      <w:iCs/>
      <w:color w:val="404040" w:themeColor="text1" w:themeTint="BF"/>
    </w:rPr>
  </w:style>
  <w:style w:type="paragraph" w:styleId="ListParagraph">
    <w:name w:val="List Paragraph"/>
    <w:basedOn w:val="Normal"/>
    <w:uiPriority w:val="34"/>
    <w:qFormat/>
    <w:rsid w:val="0086525E"/>
    <w:pPr>
      <w:ind w:left="720"/>
      <w:contextualSpacing/>
    </w:pPr>
  </w:style>
  <w:style w:type="character" w:styleId="IntenseEmphasis">
    <w:name w:val="Intense Emphasis"/>
    <w:basedOn w:val="DefaultParagraphFont"/>
    <w:uiPriority w:val="21"/>
    <w:qFormat/>
    <w:rsid w:val="0086525E"/>
    <w:rPr>
      <w:i/>
      <w:iCs/>
      <w:color w:val="0F4761" w:themeColor="accent1" w:themeShade="BF"/>
    </w:rPr>
  </w:style>
  <w:style w:type="paragraph" w:styleId="IntenseQuote">
    <w:name w:val="Intense Quote"/>
    <w:basedOn w:val="Normal"/>
    <w:next w:val="Normal"/>
    <w:link w:val="IntenseQuoteChar"/>
    <w:uiPriority w:val="30"/>
    <w:qFormat/>
    <w:rsid w:val="00865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25E"/>
    <w:rPr>
      <w:i/>
      <w:iCs/>
      <w:color w:val="0F4761" w:themeColor="accent1" w:themeShade="BF"/>
    </w:rPr>
  </w:style>
  <w:style w:type="character" w:styleId="IntenseReference">
    <w:name w:val="Intense Reference"/>
    <w:basedOn w:val="DefaultParagraphFont"/>
    <w:uiPriority w:val="32"/>
    <w:qFormat/>
    <w:rsid w:val="0086525E"/>
    <w:rPr>
      <w:b/>
      <w:bCs/>
      <w:smallCaps/>
      <w:color w:val="0F4761" w:themeColor="accent1" w:themeShade="BF"/>
      <w:spacing w:val="5"/>
    </w:rPr>
  </w:style>
  <w:style w:type="table" w:styleId="TableGrid">
    <w:name w:val="Table Grid"/>
    <w:basedOn w:val="TableNormal"/>
    <w:uiPriority w:val="39"/>
    <w:rsid w:val="00865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27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739"/>
  </w:style>
  <w:style w:type="paragraph" w:styleId="Footer">
    <w:name w:val="footer"/>
    <w:basedOn w:val="Normal"/>
    <w:link w:val="FooterChar"/>
    <w:uiPriority w:val="99"/>
    <w:unhideWhenUsed/>
    <w:rsid w:val="001427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739"/>
  </w:style>
  <w:style w:type="character" w:styleId="CommentReference">
    <w:name w:val="annotation reference"/>
    <w:uiPriority w:val="99"/>
    <w:qFormat/>
    <w:rsid w:val="00791A2E"/>
    <w:rPr>
      <w:color w:val="000000"/>
      <w:w w:val="100"/>
      <w:position w:val="-1"/>
      <w:sz w:val="16"/>
      <w:szCs w:val="16"/>
      <w:effect w:val="none"/>
      <w:vertAlign w:val="baseline"/>
      <w:cs w:val="0"/>
      <w:em w:val="none"/>
    </w:rPr>
  </w:style>
  <w:style w:type="paragraph" w:customStyle="1" w:styleId="EXHIBITTITLE">
    <w:name w:val="EXHIBIT TITLE"/>
    <w:basedOn w:val="Normal"/>
    <w:next w:val="Normal"/>
    <w:qFormat/>
    <w:rsid w:val="00791A2E"/>
    <w:pPr>
      <w:suppressAutoHyphens/>
      <w:spacing w:before="120" w:after="0" w:line="1" w:lineRule="atLeast"/>
      <w:ind w:leftChars="-1" w:left="1" w:hangingChars="1" w:hanging="3"/>
      <w:jc w:val="center"/>
      <w:textDirection w:val="btLr"/>
      <w:textAlignment w:val="top"/>
      <w:outlineLvl w:val="0"/>
    </w:pPr>
    <w:rPr>
      <w:rFonts w:ascii="Aptos" w:eastAsia="Times New Roman" w:hAnsi="Aptos" w:cs="Times New Roman"/>
      <w:b/>
      <w:color w:val="000000"/>
      <w:kern w:val="0"/>
      <w:position w:val="-1"/>
      <w:szCs w:val="28"/>
      <w:lang w:eastAsia="ja-JP"/>
      <w14:ligatures w14:val="none"/>
    </w:rPr>
  </w:style>
  <w:style w:type="numbering" w:customStyle="1" w:styleId="ListStyle1">
    <w:name w:val="List Style 1"/>
    <w:uiPriority w:val="99"/>
    <w:rsid w:val="00791A2E"/>
    <w:pPr>
      <w:numPr>
        <w:numId w:val="5"/>
      </w:numPr>
    </w:pPr>
  </w:style>
  <w:style w:type="paragraph" w:customStyle="1" w:styleId="EXHIBIT">
    <w:name w:val="EXHIBIT"/>
    <w:basedOn w:val="Normal"/>
    <w:next w:val="EXHIBITTITLE"/>
    <w:qFormat/>
    <w:rsid w:val="00791A2E"/>
    <w:pPr>
      <w:suppressAutoHyphens/>
      <w:spacing w:before="120" w:after="0" w:line="1" w:lineRule="atLeast"/>
      <w:ind w:leftChars="-1" w:left="1" w:hangingChars="1" w:hanging="3"/>
      <w:jc w:val="center"/>
      <w:textDirection w:val="btLr"/>
      <w:textAlignment w:val="top"/>
      <w:outlineLvl w:val="0"/>
    </w:pPr>
    <w:rPr>
      <w:rFonts w:ascii="Aptos" w:eastAsia="Times New Roman" w:hAnsi="Aptos" w:cs="Times New Roman"/>
      <w:b/>
      <w:color w:val="000000"/>
      <w:kern w:val="0"/>
      <w:position w:val="-1"/>
      <w:sz w:val="28"/>
      <w:szCs w:val="28"/>
      <w:lang w:eastAsia="ja-JP"/>
      <w14:ligatures w14:val="none"/>
    </w:rPr>
  </w:style>
  <w:style w:type="paragraph" w:styleId="List">
    <w:name w:val="List"/>
    <w:basedOn w:val="Normal"/>
    <w:uiPriority w:val="99"/>
    <w:unhideWhenUsed/>
    <w:rsid w:val="00791A2E"/>
    <w:pPr>
      <w:suppressAutoHyphens/>
      <w:spacing w:before="120" w:after="0" w:line="1" w:lineRule="atLeast"/>
      <w:ind w:leftChars="-1" w:left="360" w:hangingChars="1" w:hanging="360"/>
      <w:contextualSpacing/>
      <w:textDirection w:val="btLr"/>
      <w:textAlignment w:val="top"/>
      <w:outlineLvl w:val="0"/>
    </w:pPr>
    <w:rPr>
      <w:rFonts w:ascii="Aptos" w:eastAsia="Arial" w:hAnsi="Aptos" w:cs="Arial"/>
      <w:color w:val="000000"/>
      <w:kern w:val="0"/>
      <w:position w:val="-1"/>
      <w:sz w:val="20"/>
      <w:lang w:eastAsia="ja-JP"/>
      <w14:ligatures w14:val="none"/>
    </w:rPr>
  </w:style>
  <w:style w:type="paragraph" w:styleId="NormalWeb">
    <w:name w:val="Normal (Web)"/>
    <w:basedOn w:val="Normal"/>
    <w:uiPriority w:val="99"/>
    <w:unhideWhenUsed/>
    <w:rsid w:val="00791A2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ommentText">
    <w:name w:val="annotation text"/>
    <w:basedOn w:val="Normal"/>
    <w:link w:val="CommentTextChar"/>
    <w:uiPriority w:val="99"/>
    <w:unhideWhenUsed/>
    <w:rsid w:val="00791A2E"/>
    <w:pPr>
      <w:suppressAutoHyphens/>
      <w:spacing w:before="120" w:after="0" w:line="240" w:lineRule="auto"/>
      <w:ind w:leftChars="-1" w:left="-1" w:hangingChars="1" w:hanging="1"/>
      <w:textDirection w:val="btLr"/>
      <w:textAlignment w:val="top"/>
      <w:outlineLvl w:val="0"/>
    </w:pPr>
    <w:rPr>
      <w:rFonts w:ascii="Aptos" w:eastAsia="Arial" w:hAnsi="Aptos" w:cs="Arial"/>
      <w:color w:val="000000"/>
      <w:kern w:val="0"/>
      <w:position w:val="-1"/>
      <w:sz w:val="20"/>
      <w:szCs w:val="20"/>
      <w:lang w:eastAsia="ja-JP"/>
      <w14:ligatures w14:val="none"/>
    </w:rPr>
  </w:style>
  <w:style w:type="character" w:customStyle="1" w:styleId="CommentTextChar">
    <w:name w:val="Comment Text Char"/>
    <w:basedOn w:val="DefaultParagraphFont"/>
    <w:link w:val="CommentText"/>
    <w:uiPriority w:val="99"/>
    <w:rsid w:val="00791A2E"/>
    <w:rPr>
      <w:rFonts w:ascii="Aptos" w:eastAsia="Arial" w:hAnsi="Aptos" w:cs="Arial"/>
      <w:color w:val="000000"/>
      <w:kern w:val="0"/>
      <w:position w:val="-1"/>
      <w:sz w:val="20"/>
      <w:szCs w:val="20"/>
      <w:lang w:eastAsia="ja-JP"/>
      <w14:ligatures w14:val="none"/>
    </w:rPr>
  </w:style>
  <w:style w:type="paragraph" w:styleId="CommentSubject">
    <w:name w:val="annotation subject"/>
    <w:basedOn w:val="CommentText"/>
    <w:next w:val="CommentText"/>
    <w:link w:val="CommentSubjectChar"/>
    <w:uiPriority w:val="99"/>
    <w:semiHidden/>
    <w:unhideWhenUsed/>
    <w:rsid w:val="00791A2E"/>
    <w:rPr>
      <w:b/>
      <w:bCs/>
    </w:rPr>
  </w:style>
  <w:style w:type="character" w:customStyle="1" w:styleId="CommentSubjectChar">
    <w:name w:val="Comment Subject Char"/>
    <w:basedOn w:val="CommentTextChar"/>
    <w:link w:val="CommentSubject"/>
    <w:uiPriority w:val="99"/>
    <w:semiHidden/>
    <w:rsid w:val="00791A2E"/>
    <w:rPr>
      <w:rFonts w:ascii="Aptos" w:eastAsia="Arial" w:hAnsi="Aptos" w:cs="Arial"/>
      <w:b/>
      <w:bCs/>
      <w:color w:val="000000"/>
      <w:kern w:val="0"/>
      <w:position w:val="-1"/>
      <w:sz w:val="20"/>
      <w:szCs w:val="20"/>
      <w:lang w:eastAsia="ja-JP"/>
      <w14:ligatures w14:val="none"/>
    </w:rPr>
  </w:style>
  <w:style w:type="paragraph" w:styleId="Revision">
    <w:name w:val="Revision"/>
    <w:hidden/>
    <w:uiPriority w:val="99"/>
    <w:semiHidden/>
    <w:rsid w:val="00791A2E"/>
    <w:pPr>
      <w:spacing w:after="0" w:line="240" w:lineRule="auto"/>
    </w:pPr>
    <w:rPr>
      <w:rFonts w:ascii="Aptos" w:eastAsia="Arial" w:hAnsi="Aptos" w:cs="Arial"/>
      <w:color w:val="000000"/>
      <w:kern w:val="0"/>
      <w:position w:val="-1"/>
      <w:sz w:val="20"/>
      <w:lang w:eastAsia="ja-JP"/>
      <w14:ligatures w14:val="none"/>
    </w:rPr>
  </w:style>
  <w:style w:type="character" w:styleId="UnresolvedMention">
    <w:name w:val="Unresolved Mention"/>
    <w:basedOn w:val="DefaultParagraphFont"/>
    <w:uiPriority w:val="99"/>
    <w:unhideWhenUsed/>
    <w:rsid w:val="00791A2E"/>
    <w:rPr>
      <w:color w:val="605E5C"/>
      <w:shd w:val="clear" w:color="auto" w:fill="E1DFDD"/>
    </w:rPr>
  </w:style>
  <w:style w:type="character" w:styleId="Mention">
    <w:name w:val="Mention"/>
    <w:basedOn w:val="DefaultParagraphFont"/>
    <w:uiPriority w:val="99"/>
    <w:unhideWhenUsed/>
    <w:rsid w:val="00791A2E"/>
    <w:rPr>
      <w:color w:val="2B579A"/>
      <w:shd w:val="clear" w:color="auto" w:fill="E1DFDD"/>
    </w:rPr>
  </w:style>
  <w:style w:type="character" w:styleId="Hyperlink">
    <w:name w:val="Hyperlink"/>
    <w:basedOn w:val="DefaultParagraphFont"/>
    <w:uiPriority w:val="99"/>
    <w:unhideWhenUsed/>
    <w:rsid w:val="00791A2E"/>
    <w:rPr>
      <w:color w:val="467886" w:themeColor="hyperlink"/>
      <w:u w:val="single"/>
    </w:rPr>
  </w:style>
  <w:style w:type="paragraph" w:styleId="BodyText">
    <w:name w:val="Body Text"/>
    <w:basedOn w:val="Normal"/>
    <w:link w:val="BodyTextChar"/>
    <w:uiPriority w:val="1"/>
    <w:qFormat/>
    <w:rsid w:val="00791A2E"/>
    <w:pPr>
      <w:widowControl w:val="0"/>
      <w:autoSpaceDE w:val="0"/>
      <w:autoSpaceDN w:val="0"/>
      <w:spacing w:after="0" w:line="240" w:lineRule="auto"/>
    </w:pPr>
    <w:rPr>
      <w:rFonts w:ascii="Times New Roman" w:eastAsia="Times New Roman" w:hAnsi="Times New Roman" w:cs="Times New Roman"/>
      <w:kern w:val="0"/>
      <w:sz w:val="18"/>
      <w:szCs w:val="18"/>
      <w14:ligatures w14:val="none"/>
    </w:rPr>
  </w:style>
  <w:style w:type="character" w:customStyle="1" w:styleId="BodyTextChar">
    <w:name w:val="Body Text Char"/>
    <w:basedOn w:val="DefaultParagraphFont"/>
    <w:link w:val="BodyText"/>
    <w:uiPriority w:val="1"/>
    <w:rsid w:val="00791A2E"/>
    <w:rPr>
      <w:rFonts w:ascii="Times New Roman" w:eastAsia="Times New Roman" w:hAnsi="Times New Roman" w:cs="Times New Roman"/>
      <w:kern w:val="0"/>
      <w:sz w:val="18"/>
      <w:szCs w:val="18"/>
      <w14:ligatures w14:val="none"/>
    </w:rPr>
  </w:style>
  <w:style w:type="paragraph" w:customStyle="1" w:styleId="TableParagraph">
    <w:name w:val="Table Paragraph"/>
    <w:basedOn w:val="Normal"/>
    <w:uiPriority w:val="1"/>
    <w:qFormat/>
    <w:rsid w:val="00791A2E"/>
    <w:pPr>
      <w:widowControl w:val="0"/>
      <w:autoSpaceDE w:val="0"/>
      <w:autoSpaceDN w:val="0"/>
      <w:spacing w:after="0" w:line="186" w:lineRule="exact"/>
      <w:ind w:left="4"/>
      <w:jc w:val="center"/>
    </w:pPr>
    <w:rPr>
      <w:rFonts w:ascii="Times New Roman" w:eastAsia="Times New Roman" w:hAnsi="Times New Roman" w:cs="Times New Roman"/>
      <w:kern w:val="0"/>
      <w:sz w:val="22"/>
      <w:szCs w:val="22"/>
      <w14:ligatures w14:val="none"/>
    </w:rPr>
  </w:style>
  <w:style w:type="character" w:styleId="FollowedHyperlink">
    <w:name w:val="FollowedHyperlink"/>
    <w:basedOn w:val="DefaultParagraphFont"/>
    <w:uiPriority w:val="99"/>
    <w:semiHidden/>
    <w:unhideWhenUsed/>
    <w:rsid w:val="00791A2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e8802e0-0b68-49d0-857f-46e74756f974}" enabled="0" method="" siteId="{2e8802e0-0b68-49d0-857f-46e74756f974}" removed="1"/>
</clbl:labelList>
</file>

<file path=docProps/app.xml><?xml version="1.0" encoding="utf-8"?>
<Properties xmlns="http://schemas.openxmlformats.org/officeDocument/2006/extended-properties" xmlns:vt="http://schemas.openxmlformats.org/officeDocument/2006/docPropsVTypes">
  <Template>Normal</Template>
  <TotalTime>3</TotalTime>
  <Pages>24</Pages>
  <Words>8776</Words>
  <Characters>50028</Characters>
  <Application>Microsoft Office Word</Application>
  <DocSecurity>0</DocSecurity>
  <Lines>416</Lines>
  <Paragraphs>117</Paragraphs>
  <ScaleCrop>false</ScaleCrop>
  <Company/>
  <LinksUpToDate>false</LinksUpToDate>
  <CharactersWithSpaces>58687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Kellie Washington</dc:creator>
  <cp:keywords/>
  <dc:description/>
  <cp:lastModifiedBy>Kellie Washington</cp:lastModifiedBy>
  <cp:revision>3</cp:revision>
  <cp:lastPrinted>2025-08-26T22:22:00Z</cp:lastPrinted>
  <dcterms:created xsi:type="dcterms:W3CDTF">2026-08-28T18:54:00Z</dcterms:created>
  <dcterms:modified xsi:type="dcterms:W3CDTF">2026-08-28T18:57:00Z</dcterms:modified>
</cp:coreProperties>
</file>