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 w:eastAsia="Malgun Gothic"/>
          <w:sz w:val="32"/>
          <w:szCs w:val="32"/>
          <w:b/>
        </w:rPr>
        <w:t xml:space="preserve">영양 및 신체계측 정보를 활용한 건강지표 예측 기반 2단계 회귀-분류 프레임워크를 통한 대사증후군 분류</w:t>
      </w:r>
    </w:p>
    <w:p>
      <w:pPr>
        <w:jc w:val="center"/>
      </w:pPr>
      <w:r>
        <w:rPr>
          <w:rFonts w:ascii="Malgun Gothic" w:hAnsi="Malgun Gothic" w:eastAsia="Malgun Gothic"/>
          <w:sz w:val="22"/>
          <w:szCs w:val="22"/>
        </w:rPr>
        <w:t xml:space="preserve">CapStone A Team</w:t>
      </w:r>
    </w:p>
    <w:p>
      <w:pPr>
        <w:jc w:val="center"/>
      </w:pPr>
      <w:r>
        <w:rPr>
          <w:rFonts w:ascii="Malgun Gothic" w:hAnsi="Malgun Gothic" w:eastAsia="Malgun Gothic"/>
          <w:sz w:val="20"/>
          <w:szCs w:val="20"/>
        </w:rPr>
        <w:t xml:space="preserve">2026-04-08</w:t>
      </w:r>
    </w:p>
    <w:p>
      <w:pPr/>
      <w:r>
        <w:rPr>
          <w:rFonts w:ascii="Malgun Gothic" w:hAnsi="Malgun Gothic" w:eastAsia="Malgun Gothic"/>
          <w:sz w:val="32"/>
          <w:szCs w:val="32"/>
          <w:b/>
        </w:rPr>
        <w:t xml:space="preserve">초록</w:t>
      </w:r>
    </w:p>
    <w:p>
      <w:pPr/>
      <w:r>
        <w:rPr>
          <w:rFonts w:ascii="Malgun Gothic" w:hAnsi="Malgun Gothic" w:eastAsia="Malgun Gothic"/>
          <w:sz w:val="22"/>
          <w:szCs w:val="22"/>
        </w:rPr>
        <w:t xml:space="preserve">본 문서는 영양 및 신체계측 정보를 기반으로 건강지표를 예측한 뒤, 그 예측값을 활용하여 대사증후군을 분류한 2단계 회귀-분류 프레임워크의 최신 정리본이다. 회귀 단계에서는 타깃별 하이퍼파라미터 튜닝, 파생 피처 추가, 목적함수 비교, 타깃 변환, 그룹 기반 회귀 가능성을 비교하였다. 그 결과 HE_glu, HE_sbp, HE_chol 모두에서 기준선 대비 소폭 개선이 확인되었고, 분류 단계에서는 body_plus_predicted 모델이 실제 서비스 관점에서 가장 현실적인 대안으로 유지되었다.</w:t>
      </w:r>
    </w:p>
    <w:p>
      <w:pPr/>
      <w:r>
        <w:rPr>
          <w:rFonts w:ascii="Malgun Gothic" w:hAnsi="Malgun Gothic" w:eastAsia="Malgun Gothic"/>
          <w:sz w:val="32"/>
          <w:szCs w:val="32"/>
          <w:b/>
        </w:rPr>
        <w:t xml:space="preserve">1. 연구 개요</w:t>
      </w:r>
    </w:p>
    <w:p>
      <w:pPr/>
      <w:r>
        <w:rPr>
          <w:rFonts w:ascii="Malgun Gothic" w:hAnsi="Malgun Gothic" w:eastAsia="Malgun Gothic"/>
          <w:sz w:val="22"/>
          <w:szCs w:val="22"/>
        </w:rPr>
        <w:t xml:space="preserve">본 연구는 임상검사 의존도가 높은 대사증후군 평가를 보조하기 위해, 비침습 정보만으로 건강지표를 먼저 추정하고 그 추정치를 다시 분류모델에 활용하는 구조를 검토하였다. 입력 변수는 연령, 성별, 키, 체중, 허리둘레, WHtR 및 영양섭취 지표로 구성되며, 최종 분류 라벨은 MetS_Label이다.</w:t>
      </w:r>
    </w:p>
    <w:p>
      <w:pPr/>
      <w:r>
        <w:rPr>
          <w:rFonts w:ascii="Malgun Gothic" w:hAnsi="Malgun Gothic" w:eastAsia="Malgun Gothic"/>
          <w:sz w:val="32"/>
          <w:szCs w:val="32"/>
          <w:b/>
        </w:rPr>
        <w:t xml:space="preserve">2. 회귀모델 개선 전략</w:t>
      </w:r>
    </w:p>
    <w:p>
      <w:pPr/>
      <w:r>
        <w:rPr>
          <w:rFonts w:ascii="Malgun Gothic" w:hAnsi="Malgun Gothic" w:eastAsia="Malgun Gothic"/>
          <w:sz w:val="22"/>
          <w:szCs w:val="22"/>
        </w:rPr>
        <w:t xml:space="preserve">1) 타깃별 하이퍼파라미터를 별도로 탐색하였다.</w:t>
        <w:br/>
        <w:t xml:space="preserve">2) HE_glu와 HE_chol에 대해 log1p 변환 가능성을 검토하였다.</w:t>
        <w:br/>
        <w:t xml:space="preserve">3) reg:squarederror와 reg:pseudohubererror 목적함수를 비교하였다.</w:t>
        <w:br/>
        <w:t xml:space="preserve">4) BMI, 에너지 비율, 신체계측 상호작용 등 파생 피처를 추가하였다.</w:t>
        <w:br/>
        <w:t xml:space="preserve">5) global 모델과 sex-group-aware 회귀를 비교하였다.</w:t>
      </w:r>
    </w:p>
    <w:p>
      <w:pPr/>
      <w:r>
        <w:rPr>
          <w:rFonts w:ascii="Malgun Gothic" w:hAnsi="Malgun Gothic" w:eastAsia="Malgun Gothic"/>
          <w:sz w:val="32"/>
          <w:szCs w:val="32"/>
          <w:b/>
        </w:rPr>
        <w:t xml:space="preserve">3. 회귀모델 결과</w:t>
      </w:r>
    </w:p>
    <w:tbl>
      <w:tblPr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blGrid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Target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Scenario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MAE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RMSE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R2</w:t>
            </w:r>
          </w:p>
        </w:tc>
      </w:tr>
      <w:tr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HE_glu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baseline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9.5845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17.5034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0.1260</w:t>
            </w:r>
          </w:p>
        </w:tc>
      </w:tr>
      <w:tr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HE_glu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improved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9.0902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17.2374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0.1523</w:t>
            </w:r>
          </w:p>
        </w:tc>
      </w:tr>
      <w:tr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HE_sbp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baseline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9.4356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12.7082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0.1909</w:t>
            </w:r>
          </w:p>
        </w:tc>
      </w:tr>
      <w:tr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HE_sbp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improved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9.2909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12.5952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0.2052</w:t>
            </w:r>
          </w:p>
        </w:tc>
      </w:tr>
      <w:tr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HE_chol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baseline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27.1834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34.8422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0.1481</w:t>
            </w:r>
          </w:p>
        </w:tc>
      </w:tr>
      <w:tr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HE_chol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improved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27.0269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34.6629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0.1568</w:t>
            </w:r>
          </w:p>
        </w:tc>
      </w:tr>
    </w:tbl>
    <w:p>
      <w:pPr/>
      <w:r>
        <w:rPr>
          <w:rFonts w:ascii="Malgun Gothic" w:hAnsi="Malgun Gothic" w:eastAsia="Malgun Gothic"/>
          <w:sz w:val="22"/>
          <w:szCs w:val="22"/>
        </w:rPr>
        <w:t xml:space="preserve">최종 선택 조합은 다음과 같다.</w:t>
      </w:r>
    </w:p>
    <w:tbl>
      <w:tblPr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blGrid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Target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Group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Transform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Objective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Param Set</w:t>
            </w:r>
          </w:p>
        </w:tc>
      </w:tr>
      <w:tr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HE_glu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global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log1p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reg:squarederror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glu_a</w:t>
            </w:r>
          </w:p>
        </w:tc>
      </w:tr>
      <w:tr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HE_sbp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global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identity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reg:squarederror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sbp_a</w:t>
            </w:r>
          </w:p>
        </w:tc>
      </w:tr>
      <w:tr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HE_chol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global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identity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reg:squarederror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chol_a</w:t>
            </w:r>
          </w:p>
        </w:tc>
      </w:tr>
    </w:tbl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486400" cy="5486400"/>
            <wp:docPr id="12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1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sz w:val="20"/>
          <w:szCs w:val="20"/>
          <w:i/>
        </w:rPr>
        <w:t xml:space="preserve">그림 1. HE_glu actual vs predicted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486400" cy="5486400"/>
            <wp:docPr id="13" name="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image2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sz w:val="20"/>
          <w:szCs w:val="20"/>
          <w:i/>
        </w:rPr>
        <w:t xml:space="preserve">그림 2. HE_sbp actual vs predicted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486400" cy="5486400"/>
            <wp:docPr id="14" name="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image3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sz w:val="20"/>
          <w:szCs w:val="20"/>
          <w:i/>
        </w:rPr>
        <w:t xml:space="preserve">그림 3. HE_chol actual vs predicted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486400" cy="3526971"/>
            <wp:docPr id="15" name="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image4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sz w:val="20"/>
          <w:szCs w:val="20"/>
          <w:i/>
        </w:rPr>
        <w:t xml:space="preserve">그림 4. HE_glu residual plot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486400" cy="3526971"/>
            <wp:docPr id="16" name="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image5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sz w:val="20"/>
          <w:szCs w:val="20"/>
          <w:i/>
        </w:rPr>
        <w:t xml:space="preserve">그림 5. HE_sbp residual plot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486400" cy="3526971"/>
            <wp:docPr id="17" name="image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" name="image6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sz w:val="20"/>
          <w:szCs w:val="20"/>
          <w:i/>
        </w:rPr>
        <w:t xml:space="preserve">그림 6. HE_chol residual plot</w:t>
      </w:r>
    </w:p>
    <w:p>
      <w:r>
        <w:br w:type="page"/>
      </w:r>
    </w:p>
    <w:p>
      <w:pPr/>
      <w:r>
        <w:rPr>
          <w:rFonts w:ascii="Malgun Gothic" w:hAnsi="Malgun Gothic" w:eastAsia="Malgun Gothic"/>
          <w:sz w:val="32"/>
          <w:szCs w:val="32"/>
          <w:b/>
        </w:rPr>
        <w:t xml:space="preserve">4. 분류모델 비교</w:t>
      </w:r>
    </w:p>
    <w:p>
      <w:pPr/>
      <w:r>
        <w:rPr>
          <w:rFonts w:ascii="Malgun Gothic" w:hAnsi="Malgun Gothic" w:eastAsia="Malgun Gothic"/>
          <w:sz w:val="22"/>
          <w:szCs w:val="22"/>
        </w:rPr>
        <w:t xml:space="preserve">분류 단계에서는 동일한 train/test split에서 세 가지 입력 조합을 비교하였다. body_only는 신체지표만 사용하고, body_plus_predicted는 회귀 예측 건강지표를 추가하며, body_plus_actual은 실제 건강지표를 추가한 참조 모델이다.</w:t>
      </w:r>
    </w:p>
    <w:p>
      <w:pPr/>
      <w:r>
        <w:rPr>
          <w:rFonts w:ascii="Malgun Gothic" w:hAnsi="Malgun Gothic" w:eastAsia="Malgun Gothic"/>
          <w:sz w:val="22"/>
          <w:szCs w:val="22"/>
        </w:rPr>
        <w:t xml:space="preserve">기본 threshold 0.5 기준 결과</w:t>
      </w:r>
    </w:p>
    <w:tbl>
      <w:tblPr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blGrid>
        <w:gridCol w:w="2400"/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Model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Accuracy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Precision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Recall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F1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ROC-AUC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Threshold</w:t>
            </w:r>
          </w:p>
        </w:tc>
      </w:tr>
      <w:tr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body_only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0.8184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0.5068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0.7832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0.6154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0.8693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0.50</w:t>
            </w:r>
          </w:p>
        </w:tc>
      </w:tr>
      <w:tr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body_plus_predicted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0.8379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0.5459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0.7483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0.6313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0.8723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0.50</w:t>
            </w:r>
          </w:p>
        </w:tc>
      </w:tr>
      <w:tr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body_plus_actual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0.8599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0.5916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0.7902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0.6766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0.9214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0.50</w:t>
            </w:r>
          </w:p>
        </w:tc>
      </w:tr>
    </w:tbl>
    <w:p>
      <w:pPr/>
      <w:r>
        <w:rPr>
          <w:rFonts w:ascii="Malgun Gothic" w:hAnsi="Malgun Gothic" w:eastAsia="Malgun Gothic"/>
          <w:sz w:val="22"/>
          <w:szCs w:val="22"/>
        </w:rPr>
        <w:t xml:space="preserve">최적 threshold 적용 결과</w:t>
      </w:r>
    </w:p>
    <w:tbl>
      <w:tblPr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blGrid>
        <w:gridCol w:w="2400"/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Model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Accuracy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Precision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Recall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F1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ROC-AUC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  <w:b/>
              </w:rPr>
              <w:t xml:space="preserve">Threshold</w:t>
            </w:r>
          </w:p>
        </w:tc>
      </w:tr>
      <w:tr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body_only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0.8210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0.5115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0.7762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0.6167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0.8693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0.52</w:t>
            </w:r>
          </w:p>
        </w:tc>
      </w:tr>
      <w:tr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body_plus_predicted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0.8534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0.5862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0.7133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0.6435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0.8723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0.61</w:t>
            </w:r>
          </w:p>
        </w:tc>
      </w:tr>
      <w:tr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body_plus_actual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0.8768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0.6412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0.7622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0.6965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0.9214</w:t>
            </w:r>
          </w:p>
        </w:tc>
        <w:tc>
          <w:tcPr>
            <w:tcW w:w="2400" w:type="dxa"/>
          </w:tcPr>
          <w:p>
            <w:r>
              <w:rPr>
                <w:rFonts w:ascii="Malgun Gothic" w:hAnsi="Malgun Gothic" w:eastAsia="Malgun Gothic"/>
                <w:sz w:val="20"/>
                <w:szCs w:val="20"/>
              </w:rPr>
              <w:t xml:space="preserve">0.62</w:t>
            </w:r>
          </w:p>
        </w:tc>
      </w:tr>
    </w:tbl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486400" cy="3918857"/>
            <wp:docPr id="18" name="image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image7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sz w:val="20"/>
          <w:szCs w:val="20"/>
          <w:i/>
        </w:rPr>
        <w:t xml:space="preserve">그림 7. 분류모델 ROC curve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486400" cy="3135085"/>
            <wp:docPr id="19" name="image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" name="image8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sz w:val="20"/>
          <w:szCs w:val="20"/>
          <w:i/>
        </w:rPr>
        <w:t xml:space="preserve">그림 8. body_plus_predicted threshold vs F1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486400" cy="4572000"/>
            <wp:docPr id="20" name="image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image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sz w:val="20"/>
          <w:szCs w:val="20"/>
          <w:i/>
        </w:rPr>
        <w:t xml:space="preserve">그림 9. body_plus_predicted precision-recall curve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486400" cy="4389120"/>
            <wp:docPr id="21" name="image1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image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sz w:val="20"/>
          <w:szCs w:val="20"/>
          <w:i/>
        </w:rPr>
        <w:t xml:space="preserve">그림 10. body_plus_predicted confusion matrix</w:t>
      </w:r>
    </w:p>
    <w:p>
      <w:pPr/>
      <w:r>
        <w:rPr>
          <w:rFonts w:ascii="Malgun Gothic" w:hAnsi="Malgun Gothic" w:eastAsia="Malgun Gothic"/>
          <w:sz w:val="32"/>
          <w:szCs w:val="32"/>
          <w:b/>
        </w:rPr>
        <w:t xml:space="preserve">5. 결론</w:t>
      </w:r>
    </w:p>
    <w:p>
      <w:pPr/>
      <w:r>
        <w:rPr>
          <w:rFonts w:ascii="Malgun Gothic" w:hAnsi="Malgun Gothic" w:eastAsia="Malgun Gothic"/>
          <w:sz w:val="22"/>
          <w:szCs w:val="22"/>
        </w:rPr>
        <w:t xml:space="preserve">회귀모델의 설명력은 여전히 제한적이지만, 개선형 회귀 설정은 세 타깃 모두에서 기준선 대비 수치를 소폭 향상시켰다. 그 결과 body_plus_predicted 모델의 기본 F1은 0.6313, 최적 threshold 적용 F1은 0.6435로 향상되었다. 실제 건강지표를 사용하는 body_plus_actual이 최고 성능을 유지했지만, 실제 서비스 적용 관점에서는 예측 건강지표 기반 body_plus_predicted가 가장 현실적인 대안으로 판단된다.</w:t>
      </w:r>
    </w:p>
    <w:p>
      <w:pPr/>
      <w:r>
        <w:rPr>
          <w:rFonts w:ascii="Malgun Gothic" w:hAnsi="Malgun Gothic" w:eastAsia="Malgun Gothic"/>
          <w:sz w:val="20"/>
          <w:szCs w:val="20"/>
          <w:i/>
        </w:rPr>
        <w:t xml:space="preserve">윤리적 고지: 본 문서의 결과는 건강관리 보조 및 선별 목적의 참고 정보이며, 의료적 진단, 치료, 처방을 대체하지 않는다.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9" Type="http://schemas.openxmlformats.org/officeDocument/2006/relationships/image" Target="media/image9.png"/><Relationship Id="rId10" Type="http://schemas.openxmlformats.org/officeDocument/2006/relationships/image" Target="media/image10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OpenAI 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대사증후군 논문 정리</dc:title>
  <dc:creator>OpenAI Codex</dc:creator>
  <cp:lastModifiedBy>OpenAI Codex</cp:lastModifiedBy>
  <dcterms:created xsi:type="dcterms:W3CDTF">2026-04-08T03:33:15Z</dcterms:created>
  <dcterms:modified xsi:type="dcterms:W3CDTF">2026-04-08T03:33:15Z</dcterms:modified>
</cp:coreProperties>
</file>