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 w:eastAsia="Microsoft YaHei"/>
          <w:b/>
          <w:color w:val="2E74B5"/>
          <w:sz w:val="21"/>
        </w:rPr>
        <w:t>阶段工作总结 · 2026-09-02</w:t>
      </w:r>
    </w:p>
    <w:p>
      <w:pPr>
        <w:pStyle w:val="Title"/>
      </w:pPr>
      <w:r>
        <w:t>ModelDev 飞行器模型开发与仿真工作台</w:t>
      </w:r>
    </w:p>
    <w:p>
      <w:pPr>
        <w:pStyle w:val="Subtitle"/>
      </w:pPr>
      <w:r>
        <w:t>从 C++ 模型集成到可配置 GNC、Web 闭环与可追溯验证</w:t>
      </w:r>
    </w:p>
    <w:p>
      <w:pPr>
        <w:pStyle w:val="Metadata"/>
      </w:pPr>
      <w:r>
        <w:rPr>
          <w:rFonts w:ascii="Calibri" w:hAnsi="Calibri" w:eastAsia="Microsoft YaHei"/>
          <w:color w:val="667788"/>
          <w:sz w:val="19"/>
        </w:rPr>
        <w:t>范围：2026-08-20 至 2026-09-02  |  分支：production  |  用途：项目汇报与阶段验收</w:t>
      </w:r>
    </w:p>
    <w:p>
      <w:pPr>
        <w:pStyle w:val="Lead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23B5D"/>
          <w:sz w:val="22"/>
        </w:rPr>
        <w:t>总体结论｜</w:t>
      </w:r>
      <w:r>
        <w:rPr>
          <w:rFonts w:ascii="Calibri" w:hAnsi="Calibri" w:eastAsia="Microsoft YaHei"/>
          <w:color w:val="123B5D"/>
          <w:sz w:val="22"/>
        </w:rPr>
        <w:t>已将 ModelDev 从 C++ 模型与离线结果文件推进为可在本机真实调用 HTV2/BGM 的六屏工作台，配置、执行、留痕、解析、导出与比较全链路贯通；当前仍是工作区实现，不等同于生产部署。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AF3F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E80FF"/>
                <w:sz w:val="36"/>
              </w:rPr>
              <w:t>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3746"/>
                <w:sz w:val="17"/>
              </w:rPr>
              <w:t>真实 C++ 模型</w:t>
              <w:br/>
              <w:t>HTV2 / BGM</w:t>
            </w:r>
          </w:p>
        </w:tc>
        <w:tc>
          <w:tcPr>
            <w:tcW w:type="dxa" w:w="2340"/>
            <w:shd w:fill="E8F7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59D91"/>
                <w:sz w:val="36"/>
              </w:rPr>
              <w:t>6 / 28 / 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3746"/>
                <w:sz w:val="17"/>
              </w:rPr>
              <w:t>类别 / 条目 / 可运行</w:t>
            </w:r>
          </w:p>
        </w:tc>
        <w:tc>
          <w:tcPr>
            <w:tcW w:type="dxa" w:w="234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36"/>
              </w:rPr>
              <w:t>29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3746"/>
                <w:sz w:val="17"/>
              </w:rPr>
              <w:t>后端用例本次通过</w:t>
            </w:r>
          </w:p>
        </w:tc>
        <w:tc>
          <w:tcPr>
            <w:tcW w:type="dxa" w:w="2340"/>
            <w:shd w:fill="FFF6D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C58719"/>
                <w:sz w:val="36"/>
              </w:rPr>
              <w:t>13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3746"/>
                <w:sz w:val="17"/>
              </w:rPr>
              <w:t>成功运行记录现存</w:t>
            </w:r>
          </w:p>
        </w:tc>
      </w:tr>
    </w:tbl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031492"/>
            <wp:docPr id="1" name="Picture 1" descr="ModelDev 本机仿真闭环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浏览器、FastAPI、可信 C++ 执行与结果服务形成完整闭环</w:t>
      </w:r>
    </w:p>
    <w:p>
      <w:pPr>
        <w:pStyle w:val="SourceNote"/>
      </w:pPr>
      <w:r>
        <w:rPr>
          <w:rFonts w:ascii="Calibri" w:hAnsi="Calibri" w:eastAsia="Microsoft YaHei"/>
          <w:b/>
          <w:color w:val="667788"/>
          <w:sz w:val="17"/>
        </w:rPr>
        <w:t>证据口径：</w:t>
      </w:r>
      <w:r>
        <w:rPr>
          <w:rFonts w:ascii="Calibri" w:hAnsi="Calibri" w:eastAsia="Microsoft YaHei"/>
          <w:color w:val="667788"/>
          <w:sz w:val="17"/>
        </w:rPr>
        <w:t>“本次复核”指 2026-09-02 实际执行；“历史验收”指仓库中保留的构建、专项运行和浏览器记录。</w:t>
      </w:r>
    </w:p>
    <w:p>
      <w:r>
        <w:br w:type="page"/>
      </w:r>
    </w:p>
    <w:p>
      <w:pPr>
        <w:pStyle w:val="Heading1"/>
        <w:spacing w:before="0"/>
      </w:pPr>
      <w:r>
        <w:t>1. 已完成工作全景</w:t>
      </w:r>
    </w:p>
    <w:p>
      <w:pPr>
        <w:pStyle w:val="Heading2"/>
      </w:pPr>
      <w:r>
        <w:t>1.1 模型、构建与离线可视化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43746"/>
          <w:sz w:val="22"/>
        </w:rPr>
        <w:t>HTV2 共享库接入 CMake；形成常规、俯冲、助推和中段 4 个目标，Release 保留 HTV2_Test.exe 与 BGMTest.exe。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43746"/>
          <w:sz w:val="22"/>
        </w:rPr>
        <w:t>梳理 HTV2/BGM 六自由度模型、GNC、发动机、传感器与结果写出路径，明确产品接口边界。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43746"/>
          <w:sz w:val="22"/>
        </w:rPr>
        <w:t>完善 HTV2 离线回放：固定列 result.dat、NUE→ENU、三维轨迹、STL/球形地球、播放控制和 --check 校验。</w:t>
      </w:r>
    </w:p>
    <w:p>
      <w:pPr>
        <w:pStyle w:val="SourceNote"/>
      </w:pPr>
      <w:r>
        <w:rPr>
          <w:rFonts w:ascii="Calibri" w:hAnsi="Calibri" w:eastAsia="Microsoft YaHei"/>
          <w:b/>
          <w:color w:val="667788"/>
          <w:sz w:val="17"/>
        </w:rPr>
        <w:t>关键实现：</w:t>
      </w:r>
      <w:r>
        <w:rPr>
          <w:rFonts w:ascii="Consolas" w:hAnsi="Consolas" w:eastAsia="Microsoft YaHei"/>
          <w:color w:val="667788"/>
          <w:sz w:val="17"/>
        </w:rPr>
        <w:t>src/CMakeLists.txt；Test/HTV2/CMakeLists.txt；Visualization/htv2_replay.py</w:t>
      </w:r>
    </w:p>
    <w:p>
      <w:pPr>
        <w:pStyle w:val="Heading2"/>
      </w:pPr>
      <w:r>
        <w:t>1.2 产品化盘点与接口路线</w:t>
      </w:r>
    </w:p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定位：</w:t>
      </w:r>
      <w:r>
        <w:rPr>
          <w:rFonts w:ascii="Calibri" w:hAnsi="Calibri" w:eastAsia="Microsoft YaHei"/>
          <w:color w:val="243746"/>
          <w:sz w:val="22"/>
        </w:rPr>
        <w:t>第一产品循环为“配置 → 执行 → 解析 → 曲线/比较 → 报告/交付”，优先服务 Windows 本机离线使用。</w:t>
      </w:r>
    </w:p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接口：</w:t>
      </w:r>
      <w:r>
        <w:rPr>
          <w:rFonts w:ascii="Calibri" w:hAnsi="Calibri" w:eastAsia="Microsoft YaHei"/>
          <w:color w:val="243746"/>
          <w:sz w:val="22"/>
        </w:rPr>
        <w:t>提出统一模型契约；对外优先稳定 C API/Python SDK，FMI 3.0 作为后续互操作方向。</w:t>
      </w:r>
    </w:p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治理：</w:t>
      </w:r>
      <w:r>
        <w:rPr>
          <w:rFonts w:ascii="Calibri" w:hAnsi="Calibri" w:eastAsia="Microsoft YaHei"/>
          <w:color w:val="243746"/>
          <w:sz w:val="22"/>
        </w:rPr>
        <w:t>概念 HTML 仅表达目标态，不能代替真实后端、进程、result.dat 与浏览器端到端证据。</w:t>
      </w:r>
    </w:p>
    <w:p>
      <w:pPr>
        <w:pStyle w:val="Heading2"/>
      </w:pPr>
      <w:r>
        <w:t>1.3 三轮可执行垂直迭代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43746"/>
          <w:sz w:val="22"/>
        </w:rPr>
        <w:t>受控参数：统一 CLI；后端白名单生成 Schema，前端动态渲染，非法、非有限或越界输入拒绝。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43746"/>
          <w:sz w:val="22"/>
        </w:rPr>
        <w:t>持久化与导出：独立目录、原子 run.json、日志/结果、重启恢复及 JSON/CSV/raw 导出。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43746"/>
          <w:sz w:val="22"/>
        </w:rPr>
        <w:t>结果比较：2–4 条同模型运行叠加高度、速度和摘要差值，并保留各自原生时间轴。</w:t>
      </w:r>
    </w:p>
    <w:p>
      <w:pPr>
        <w:pStyle w:val="Heading2"/>
      </w:pPr>
      <w:r>
        <w:t>1.4 模型库与界面治理</w:t>
      </w:r>
    </w:p>
    <w:p>
      <w:pPr/>
      <w:r>
        <w:rPr>
          <w:rFonts w:ascii="Calibri" w:hAnsi="Calibri" w:eastAsia="Microsoft YaHei"/>
          <w:color w:val="243746"/>
          <w:sz w:val="22"/>
        </w:rPr>
        <w:t>工作台收敛为六屏；模型目录按 6 类展示 28 个真实源码条目，仅 HTV2/BGM 标记为可运行，未集成模型不再伪装成可执行能力。</w:t>
      </w:r>
    </w:p>
    <w:p>
      <w:r>
        <w:br w:type="page"/>
      </w:r>
    </w:p>
    <w:p>
      <w:pPr>
        <w:pStyle w:val="Heading1"/>
        <w:spacing w:before="0"/>
      </w:pPr>
      <w:r>
        <w:t>2. 制导与控制模块化</w:t>
      </w:r>
    </w:p>
    <w:p>
      <w:pPr>
        <w:pStyle w:val="LeadCallout"/>
        <w:shd w:fill="E8F7F5"/>
        <w:pBdr>
          <w:left w:val="single" w:sz="18" w:space="8" w:color="159D91"/>
        </w:pBdr>
      </w:pPr>
      <w:r>
        <w:rPr>
          <w:rFonts w:ascii="Calibri" w:hAnsi="Calibri" w:eastAsia="Microsoft YaHei"/>
          <w:b/>
          <w:color w:val="123B5D"/>
          <w:sz w:val="22"/>
        </w:rPr>
        <w:t>核心价值｜</w:t>
      </w:r>
      <w:r>
        <w:rPr>
          <w:rFonts w:ascii="Calibri" w:hAnsi="Calibri" w:eastAsia="Microsoft YaHei"/>
          <w:color w:val="123B5D"/>
          <w:sz w:val="22"/>
        </w:rPr>
        <w:t>算法选择与参数会进入 C++ 计算、API 请求和运行记录，不是只增加下拉框。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260"/>
        <w:gridCol w:w="2840"/>
        <w:gridCol w:w="5260"/>
      </w:tblGrid>
      <w:tr>
        <w:trPr>
          <w:tblHeader w:val="true"/>
        </w:trPr>
        <w:tc>
          <w:tcPr>
            <w:tcW w:type="dxa" w:w="1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9"/>
              </w:rPr>
              <w:t>模型</w:t>
            </w:r>
          </w:p>
        </w:tc>
        <w:tc>
          <w:tcPr>
            <w:tcW w:type="dxa" w:w="2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9"/>
              </w:rPr>
              <w:t>制导实现</w:t>
            </w:r>
          </w:p>
        </w:tc>
        <w:tc>
          <w:tcPr>
            <w:tcW w:type="dxa" w:w="5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9"/>
              </w:rPr>
              <w:t>控制与主要可调项</w:t>
            </w:r>
          </w:p>
        </w:tc>
      </w:tr>
      <w:tr>
        <w:trPr/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8"/>
              </w:rPr>
              <w:t>HTV2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phase_pull_bias（默认）</w:t>
              <w:br/>
              <w:t>phase_standard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P6DOF-PI / P；PN 系数、保持段距离/时长、安装角、增益倍率、舵偏限幅</w:t>
            </w:r>
          </w:p>
        </w:tc>
      </w:tr>
      <w:tr>
        <w:trPr/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8"/>
              </w:rPr>
              <w:t>BGM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phase_l1（默认）</w:t>
              <w:br/>
              <w:t>phase_pn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P6DOF-PI / P；PN 系数、L1 前视、首航点距离、拉偏角、增益倍率、舵偏限幅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贯通路径：</w:t>
      </w:r>
      <w:r>
        <w:rPr>
          <w:rFonts w:ascii="Calibri" w:hAnsi="Calibri" w:eastAsia="Microsoft YaHei"/>
          <w:color w:val="243746"/>
          <w:sz w:val="22"/>
        </w:rPr>
        <w:t>C++ 枚举/结构与范围校验 → CLI 映射与真实日志 → FastAPI 0.5.0 白名单 Schema → schema 2 运行记录（兼容 schema 1）。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3336655"/>
            <wp:docPr id="2" name="Picture 2" descr="ModelDev 场景配置页的制导与控制模块参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dules_cropp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33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真实场景配置页：分阶段制导与 P/PI 控制参数由服务端白名单动态生成</w:t>
      </w:r>
    </w:p>
    <w:p>
      <w:pPr>
        <w:pStyle w:val="SourceNote"/>
      </w:pPr>
      <w:r>
        <w:rPr>
          <w:rFonts w:ascii="Calibri" w:hAnsi="Calibri" w:eastAsia="Microsoft YaHei"/>
          <w:b/>
          <w:color w:val="667788"/>
          <w:sz w:val="17"/>
        </w:rPr>
        <w:t>关键实现：</w:t>
      </w:r>
      <w:r>
        <w:rPr>
          <w:rFonts w:ascii="Consolas" w:hAnsi="Consolas" w:eastAsia="Microsoft YaHei"/>
          <w:color w:val="667788"/>
          <w:sz w:val="17"/>
        </w:rPr>
        <w:t>include/*/CommonStructs.h；src/*/Missile.cpp；Test/ScenarioArguments.h；backend/registry.py</w:t>
      </w:r>
    </w:p>
    <w:p>
      <w:r>
        <w:br w:type="page"/>
      </w:r>
    </w:p>
    <w:p>
      <w:pPr>
        <w:pStyle w:val="Heading1"/>
        <w:spacing w:before="0"/>
      </w:pPr>
      <w:r>
        <w:t>3. Web/C++ 工作台与结果治理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9331"/>
            <wp:docPr id="3" name="Picture 3" descr="ModelDev 模型库页面，展示六类二十八条模型及运行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模型库直接反映源码存在性、集成状态与运行能力：6 类、28 条、2 个可运行</w:t>
      </w:r>
    </w:p>
    <w:p>
      <w:pPr>
        <w:pStyle w:val="Heading2"/>
      </w:pPr>
      <w:r>
        <w:t>3.1 六屏本机工作台</w:t>
      </w:r>
    </w:p>
    <w:p>
      <w:pPr/>
      <w:r>
        <w:rPr>
          <w:rFonts w:ascii="Calibri" w:hAnsi="Calibri" w:eastAsia="Microsoft YaHei"/>
          <w:color w:val="243746"/>
          <w:sz w:val="22"/>
        </w:rPr>
        <w:t>浏览器可完成模型/场景/模块配置、任务开始与取消、日志与状态查看、结果摘要及高度/速度/二维轨迹分析、历史筛选与三种导出、同模型多运行比较。服务仅绑定 127.0.0.1，当前一次只执行一个任务。</w:t>
      </w:r>
    </w:p>
    <w:p>
      <w:pPr>
        <w:pStyle w:val="Heading2"/>
      </w:pPr>
      <w:r>
        <w:t>3.2 可追溯结果与安全边界</w:t>
      </w:r>
    </w:p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结果治理：</w:t>
      </w:r>
      <w:r>
        <w:rPr>
          <w:rFonts w:ascii="Calibri" w:hAnsi="Calibri" w:eastAsia="Microsoft YaHei"/>
          <w:color w:val="243746"/>
          <w:sz w:val="22"/>
        </w:rPr>
        <w:t>独立目录与原子 run.json 保存 parser/路径/模块/可执行快照；重启恢复。只有 result.dat 通过存在性、大小、列契约和时间单调性检查才标记 succeeded；页面/JSON/CSV 最多 5000 点，raw 保留完整文件。</w:t>
      </w:r>
    </w:p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安全边界：</w:t>
      </w:r>
      <w:r>
        <w:rPr>
          <w:rFonts w:ascii="Calibri" w:hAnsi="Calibri" w:eastAsia="Microsoft YaHei"/>
          <w:color w:val="243746"/>
          <w:sz w:val="22"/>
        </w:rPr>
        <w:t>浏览器不能提交 executable、命令、CLI 标志或结果路径；服务端固定 argv、shell=False，并做路径包含与参数范围校验。比较保留各运行原始时间轴。</w:t>
      </w:r>
    </w:p>
    <w:p>
      <w:pPr>
        <w:pStyle w:val="SourceNote"/>
      </w:pPr>
      <w:r>
        <w:rPr>
          <w:rFonts w:ascii="Calibri" w:hAnsi="Calibri" w:eastAsia="Microsoft YaHei"/>
          <w:b/>
          <w:color w:val="667788"/>
          <w:sz w:val="17"/>
        </w:rPr>
        <w:t>关键实现：</w:t>
      </w:r>
      <w:r>
        <w:rPr>
          <w:rFonts w:ascii="Consolas" w:hAnsi="Consolas" w:eastAsia="Microsoft YaHei"/>
          <w:color w:val="667788"/>
          <w:sz w:val="17"/>
        </w:rPr>
        <w:t>Production/modeldev-web/backend/{app,runs,storage,parsers}.py；static/{index,app,styles}.*</w:t>
      </w:r>
    </w:p>
    <w:p>
      <w:r>
        <w:br w:type="page"/>
      </w:r>
    </w:p>
    <w:p>
      <w:pPr>
        <w:pStyle w:val="Heading1"/>
        <w:spacing w:before="0"/>
      </w:pPr>
      <w:r>
        <w:t>4. 验证证据、现状与后续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617720" cy="2599065"/>
            <wp:docPr id="4" name="Picture 4" descr="两条真实 BGM 运行的高度和速度对比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9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BGM PN+P 与 L1+PI 的真实运行对比；两组同时改变算法与参数，指标差异不作单因素因果解释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740"/>
        <w:gridCol w:w="3540"/>
        <w:gridCol w:w="4080"/>
      </w:tblGrid>
      <w:tr>
        <w:trPr>
          <w:tblHeader w:val="true"/>
        </w:trPr>
        <w:tc>
          <w:tcPr>
            <w:tcW w:type="dxa" w:w="1740"/>
            <w:vAlign w:val="center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8"/>
              </w:rPr>
              <w:t>证据</w:t>
            </w:r>
          </w:p>
        </w:tc>
        <w:tc>
          <w:tcPr>
            <w:tcW w:type="dxa" w:w="3540"/>
            <w:vAlign w:val="center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8"/>
              </w:rPr>
              <w:t>本次复核 / 留存结果</w:t>
            </w:r>
          </w:p>
        </w:tc>
        <w:tc>
          <w:tcPr>
            <w:tcW w:type="dxa" w:w="4080"/>
            <w:vAlign w:val="center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8"/>
              </w:rPr>
              <w:t>说明</w:t>
            </w:r>
          </w:p>
        </w:tc>
      </w:tr>
      <w:tr>
        <w:trPr/>
        <w:tc>
          <w:tcPr>
            <w:tcW w:type="dxa" w:w="17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7"/>
              </w:rPr>
              <w:t>后端测试</w:t>
            </w:r>
          </w:p>
        </w:tc>
        <w:tc>
          <w:tcPr>
            <w:tcW w:type="dxa" w:w="35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29 passed（2026-09-02 实跑）</w:t>
            </w:r>
          </w:p>
        </w:tc>
        <w:tc>
          <w:tcPr>
            <w:tcW w:type="dxa" w:w="408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覆盖 API、调度、持久化、导出与比较契约</w:t>
            </w:r>
          </w:p>
        </w:tc>
      </w:tr>
      <w:tr>
        <w:trPr/>
        <w:tc>
          <w:tcPr>
            <w:tcW w:type="dxa" w:w="17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7"/>
              </w:rPr>
              <w:t>Release CLI</w:t>
            </w:r>
          </w:p>
        </w:tc>
        <w:tc>
          <w:tcPr>
            <w:tcW w:type="dxa" w:w="35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HTV2_Test / BGMTest 的 --help 均返回 0</w:t>
            </w:r>
          </w:p>
        </w:tc>
        <w:tc>
          <w:tcPr>
            <w:tcW w:type="dxa" w:w="408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当前参数、模块选项可发现</w:t>
            </w:r>
          </w:p>
        </w:tc>
      </w:tr>
      <w:tr>
        <w:trPr/>
        <w:tc>
          <w:tcPr>
            <w:tcW w:type="dxa" w:w="17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7"/>
              </w:rPr>
              <w:t>真实模型运行</w:t>
            </w:r>
          </w:p>
        </w:tc>
        <w:tc>
          <w:tcPr>
            <w:tcW w:type="dxa" w:w="35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13 条 succeeded；代表性 3 案例 return_code=0</w:t>
            </w:r>
          </w:p>
        </w:tc>
        <w:tc>
          <w:tcPr>
            <w:tcW w:type="dxa" w:w="408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均保留 manifest、日志与 result.dat</w:t>
            </w:r>
          </w:p>
        </w:tc>
      </w:tr>
      <w:tr>
        <w:trPr/>
        <w:tc>
          <w:tcPr>
            <w:tcW w:type="dxa" w:w="17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7"/>
              </w:rPr>
              <w:t>重初始化专项</w:t>
            </w:r>
          </w:p>
        </w:tc>
        <w:tc>
          <w:tcPr>
            <w:tcW w:type="dxa" w:w="35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留存输出 24 PASS，failures=0</w:t>
            </w:r>
          </w:p>
        </w:tc>
        <w:tc>
          <w:tcPr>
            <w:tcW w:type="dxa" w:w="408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历史专项证据，本次未重编 harness</w:t>
            </w:r>
          </w:p>
        </w:tc>
      </w:tr>
      <w:tr>
        <w:trPr/>
        <w:tc>
          <w:tcPr>
            <w:tcW w:type="dxa" w:w="17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23B5D"/>
                <w:sz w:val="17"/>
              </w:rPr>
              <w:t>浏览器闭环</w:t>
            </w:r>
          </w:p>
        </w:tc>
        <w:tc>
          <w:tcPr>
            <w:tcW w:type="dxa" w:w="35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本次重新载入历史并完成 2 条 BGM 对比</w:t>
            </w:r>
          </w:p>
        </w:tc>
        <w:tc>
          <w:tcPr>
            <w:tcW w:type="dxa" w:w="408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证明当前历史、解析、比较页面可用</w:t>
            </w:r>
          </w:p>
        </w:tc>
      </w:tr>
    </w:tbl>
    <w:p>
      <w:pPr>
        <w:pStyle w:val="Heading2"/>
      </w:pPr>
      <w:r>
        <w:t>当前边界</w:t>
      </w:r>
    </w:p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交付边界：</w:t>
      </w:r>
      <w:r>
        <w:rPr>
          <w:rFonts w:ascii="Calibri" w:hAnsi="Calibri" w:eastAsia="Microsoft YaHei"/>
          <w:color w:val="243746"/>
          <w:sz w:val="22"/>
        </w:rPr>
        <w:t>本机单服务、单 worker；尚无 Job Object、历史清理和多实例锁。18 个已跟踪 C++ 文件处于修改状态，Web 目录与 ScenarioArguments.h 尚未跟踪、未提交。</w:t>
      </w:r>
    </w:p>
    <w:p>
      <w:pPr>
        <w:spacing w:after="120"/>
      </w:pPr>
      <w:r>
        <w:rPr>
          <w:rFonts w:ascii="Calibri" w:hAnsi="Calibri" w:eastAsia="Microsoft YaHei"/>
          <w:b/>
          <w:color w:val="123B5D"/>
          <w:sz w:val="22"/>
        </w:rPr>
        <w:t>验证边界：</w:t>
      </w:r>
      <w:r>
        <w:rPr>
          <w:rFonts w:ascii="Calibri" w:hAnsi="Calibri" w:eastAsia="Microsoft YaHei"/>
          <w:color w:val="243746"/>
          <w:sz w:val="22"/>
        </w:rPr>
        <w:t>29 个后端用例用 fake runner 验证接口契约；C++ 数值以 Release manifest、日志和 result.dat 为证。仍需补齐 CTest、CI、安装打包、版本治理与稳定 Schema。</w:t>
      </w:r>
    </w:p>
    <w:p>
      <w:pPr>
        <w:pStyle w:val="LeadCallout"/>
        <w:shd w:fill="FFF6DF"/>
        <w:pBdr>
          <w:left w:val="single" w:sz="18" w:space="8" w:color="C58719"/>
        </w:pBdr>
      </w:pPr>
      <w:r>
        <w:rPr>
          <w:rFonts w:ascii="Calibri" w:hAnsi="Calibri" w:eastAsia="Microsoft YaHei"/>
          <w:b/>
          <w:color w:val="123B5D"/>
          <w:sz w:val="22"/>
        </w:rPr>
        <w:t>下一步建议｜</w:t>
      </w:r>
      <w:r>
        <w:rPr>
          <w:rFonts w:ascii="Calibri" w:hAnsi="Calibri" w:eastAsia="Microsoft YaHei"/>
          <w:color w:val="123B5D"/>
          <w:sz w:val="22"/>
        </w:rPr>
        <w:t>先完成提交前范围审计与忽略规则，再固化真实模型回归/进程清理，最后扩展批量仿真、报告生成与 Windows 离线交付。</w:t>
      </w:r>
    </w:p>
    <w:p>
      <w:pPr>
        <w:pStyle w:val="SourceNote"/>
      </w:pPr>
      <w:r>
        <w:rPr>
          <w:rFonts w:ascii="Calibri" w:hAnsi="Calibri" w:eastAsia="Microsoft YaHei"/>
          <w:b/>
          <w:color w:val="667788"/>
          <w:sz w:val="17"/>
        </w:rPr>
        <w:t>关键实现：</w:t>
      </w:r>
      <w:r>
        <w:rPr>
          <w:rFonts w:ascii="Consolas" w:hAnsi="Consolas" w:eastAsia="Microsoft YaHei"/>
          <w:color w:val="667788"/>
          <w:sz w:val="17"/>
        </w:rPr>
        <w:t>backend/data/runs/*/run.json；backend/data/validation-runs/*；_Build/out/windows/Release/*.exe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788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788"/>
        <w:sz w:val="17"/>
      </w:rPr>
      <w:t xml:space="preserve"> 页 · 2026-09-02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788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788"/>
        <w:sz w:val="17"/>
      </w:rPr>
      <w:t xml:space="preserve"> 页 ·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  <w:jc w:val="left"/>
    </w:pPr>
    <w:r>
      <w:rPr>
        <w:rFonts w:ascii="Calibri" w:hAnsi="Calibri" w:eastAsia="Microsoft YaHei"/>
        <w:b/>
        <w:color w:val="667788"/>
        <w:sz w:val="17"/>
      </w:rPr>
      <w:t>MODELDEV · 项目工作总结</w:t>
    </w:r>
    <w:r>
      <w:rPr>
        <w:rFonts w:ascii="Calibri" w:hAnsi="Calibri" w:eastAsia="Microsoft YaHei"/>
        <w:color w:val="667788"/>
        <w:sz w:val="17"/>
      </w:rPr>
      <w:tab/>
      <w:t>阶段验收版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  <w:spacing w:before="0" w:after="80" w:line="28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  <w:spacing w:before="0" w:after="80" w:line="28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78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jc w:val="center"/>
    </w:pPr>
    <w:rPr>
      <w:rFonts w:ascii="Calibri" w:hAnsi="Calibri" w:eastAsia="Microsoft YaHei"/>
      <w:b w:val="0"/>
      <w:bCs/>
      <w:color w:val="66778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before="0" w:after="40" w:line="240" w:lineRule="auto"/>
    </w:pPr>
    <w:rPr>
      <w:rFonts w:ascii="Calibri" w:hAnsi="Calibri" w:eastAsia="Microsoft YaHei"/>
      <w:b w:val="0"/>
      <w:color w:val="667788"/>
      <w:sz w:val="19"/>
    </w:rPr>
  </w:style>
  <w:style w:type="paragraph" w:customStyle="1" w:styleId="SourceNote">
    <w:name w:val="Source Note"/>
    <w:pPr>
      <w:spacing w:before="40" w:after="40" w:line="240" w:lineRule="auto"/>
    </w:pPr>
    <w:rPr>
      <w:rFonts w:ascii="Calibri" w:hAnsi="Calibri" w:eastAsia="Microsoft YaHei"/>
      <w:b w:val="0"/>
      <w:color w:val="667788"/>
      <w:sz w:val="17"/>
    </w:rPr>
  </w:style>
  <w:style w:type="paragraph" w:customStyle="1" w:styleId="LeadCallout">
    <w:name w:val="Lead Callout"/>
    <w:pPr>
      <w:spacing w:before="120" w:after="200" w:line="264" w:lineRule="auto"/>
      <w:ind w:left="230" w:right="173"/>
    </w:pPr>
    <w:rPr>
      <w:rFonts w:ascii="Calibri" w:hAnsi="Calibri" w:eastAsia="Microsoft YaHei"/>
      <w:b w:val="0"/>
      <w:color w:val="123B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ModelDev 项目工作总结</dc:title>
  <dc:subject>C++ 模型集成、可配置 GNC、本机 Web 仿真闭环与验证</dc:subject>
  <dc:creator>python-docx</dc:creator>
  <cp:keywords>ModelDev, HTV2, BGM, FastAPI, GNC, simulation</cp:keywords>
  <dc:description>基于当前工作区、持久化运行记录与验证输出整理。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