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b w:val="1"/>
          <w:sz w:val="78"/>
          <w:szCs w:val="78"/>
        </w:rPr>
      </w:pPr>
      <w:r w:rsidDel="00000000" w:rsidR="00000000" w:rsidRPr="00000000">
        <w:rPr>
          <w:b w:val="1"/>
          <w:sz w:val="78"/>
          <w:szCs w:val="78"/>
          <w:rtl w:val="0"/>
        </w:rPr>
        <w:t xml:space="preserve">CONTEXT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590550</wp:posOffset>
            </wp:positionV>
            <wp:extent cx="7560106" cy="28622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0106" cy="28622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-914399</wp:posOffset>
            </wp:positionH>
            <wp:positionV relativeFrom="paragraph">
              <wp:posOffset>2933700</wp:posOffset>
            </wp:positionV>
            <wp:extent cx="7562850" cy="3077904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62850" cy="307790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Type of program: Web-based POS 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b w:val="1"/>
          <w:sz w:val="48"/>
          <w:szCs w:val="48"/>
          <w:u w:val="none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Stakeholders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Users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Restaurant employees + owners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Clerks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Kitchen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Bank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Owners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Web admins</w:t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Requirements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Non-direct contact between clerks and customers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Web technologies and QR code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Must work on mobile, tablet and desktop.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Must be extendable to multiple restaurants in the future (for now only 1 restaurant)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Holds for 300 transactions per day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Scope/Goal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Increase business intelligence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Reduce wasted efforts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Opportunity to scale to a large business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