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865" w:rsidRPr="00DD1865" w:rsidRDefault="00DD1865" w:rsidP="00DD1865">
      <w:pPr>
        <w:pStyle w:val="Ttulo1"/>
        <w:rPr>
          <w:rFonts w:eastAsia="Cambria"/>
        </w:rPr>
      </w:pPr>
      <w:r w:rsidRPr="00DD1865">
        <w:rPr>
          <w:rFonts w:eastAsia="Cambria"/>
        </w:rPr>
        <w:t>LAWS RELATED TO THE PROJECT</w:t>
      </w:r>
    </w:p>
    <w:p w:rsidR="00DD1865" w:rsidRPr="00DD1865" w:rsidRDefault="00DD1865" w:rsidP="00DD1865">
      <w:pPr>
        <w:spacing w:after="163" w:line="259" w:lineRule="auto"/>
        <w:ind w:left="0" w:firstLine="0"/>
        <w:jc w:val="left"/>
        <w:rPr>
          <w:rFonts w:eastAsia="Cambria"/>
          <w:b/>
          <w:color w:val="365F91"/>
        </w:rPr>
      </w:pPr>
    </w:p>
    <w:p w:rsidR="00DD1865" w:rsidRPr="00DD1865" w:rsidRDefault="00DD1865" w:rsidP="00DD1865">
      <w:pPr>
        <w:spacing w:after="163" w:line="259" w:lineRule="auto"/>
        <w:ind w:left="0" w:firstLine="0"/>
        <w:jc w:val="left"/>
        <w:rPr>
          <w:rFonts w:eastAsia="Cambria"/>
          <w:b/>
          <w:color w:val="365F91"/>
        </w:rPr>
      </w:pPr>
      <w:r w:rsidRPr="00DD1865">
        <w:rPr>
          <w:rFonts w:eastAsia="Cambria"/>
          <w:b/>
          <w:color w:val="365F91"/>
        </w:rPr>
        <w:t>RESOLUTION 15177 OF 2022</w:t>
      </w:r>
      <w:bookmarkStart w:id="0" w:name="_GoBack"/>
      <w:bookmarkEnd w:id="0"/>
    </w:p>
    <w:p w:rsidR="00DD1865" w:rsidRPr="00DD1865" w:rsidRDefault="00DD1865" w:rsidP="00DD1865">
      <w:pPr>
        <w:spacing w:after="163" w:line="259" w:lineRule="auto"/>
        <w:ind w:left="0" w:firstLine="0"/>
        <w:jc w:val="left"/>
        <w:rPr>
          <w:rFonts w:eastAsia="Cambria"/>
          <w:b/>
          <w:color w:val="365F91"/>
        </w:rPr>
      </w:pPr>
    </w:p>
    <w:p w:rsidR="00DD1865" w:rsidRPr="00DD1865" w:rsidRDefault="00DD1865" w:rsidP="00DD1865">
      <w:pPr>
        <w:spacing w:after="163" w:line="259" w:lineRule="auto"/>
        <w:ind w:left="0" w:firstLine="0"/>
        <w:jc w:val="left"/>
        <w:rPr>
          <w:rFonts w:eastAsia="Cambria"/>
          <w:b/>
          <w:color w:val="365F91"/>
        </w:rPr>
      </w:pPr>
      <w:r w:rsidRPr="00DD1865">
        <w:rPr>
          <w:rFonts w:eastAsia="Cambria"/>
          <w:b/>
          <w:color w:val="365F91"/>
        </w:rPr>
        <w:t>(August 02)</w:t>
      </w:r>
    </w:p>
    <w:p w:rsidR="00DD1865" w:rsidRPr="00DD1865" w:rsidRDefault="00DD1865" w:rsidP="00DD1865">
      <w:pPr>
        <w:spacing w:after="163" w:line="259" w:lineRule="auto"/>
        <w:ind w:left="0" w:firstLine="0"/>
        <w:jc w:val="left"/>
        <w:rPr>
          <w:rFonts w:eastAsia="Cambria"/>
          <w:b/>
          <w:color w:val="365F91"/>
        </w:rPr>
      </w:pPr>
    </w:p>
    <w:p w:rsidR="00DD1865" w:rsidRPr="00DD1865" w:rsidRDefault="00DD1865" w:rsidP="00DD1865">
      <w:pPr>
        <w:spacing w:after="163" w:line="259" w:lineRule="auto"/>
        <w:ind w:left="0" w:firstLine="0"/>
        <w:jc w:val="left"/>
        <w:rPr>
          <w:rFonts w:eastAsia="Cambria"/>
          <w:b/>
          <w:color w:val="365F91"/>
        </w:rPr>
      </w:pPr>
      <w:r w:rsidRPr="00DD1865">
        <w:rPr>
          <w:rFonts w:eastAsia="Cambria"/>
          <w:b/>
          <w:color w:val="365F91"/>
        </w:rPr>
        <w:t>The Minister of National Education, in exercise of her constitutional and legal powers, especially those conferred by article 2.6.4.5. of Decree number 1075 of 2015, numerals 2.8 of article 2° and 6.1 and 6.6. of article 6° of Decree number 5012 of 2009.</w:t>
      </w:r>
    </w:p>
    <w:p w:rsidR="00DD1865" w:rsidRPr="00DD1865" w:rsidRDefault="00DD1865" w:rsidP="00DD1865">
      <w:pPr>
        <w:spacing w:after="163" w:line="259" w:lineRule="auto"/>
        <w:ind w:left="0" w:firstLine="0"/>
        <w:jc w:val="left"/>
        <w:rPr>
          <w:rFonts w:eastAsia="Cambria"/>
          <w:b/>
          <w:color w:val="365F91"/>
        </w:rPr>
      </w:pPr>
    </w:p>
    <w:p w:rsidR="00DD1865" w:rsidRPr="00DD1865" w:rsidRDefault="00DD1865" w:rsidP="00DD1865">
      <w:pPr>
        <w:spacing w:after="163" w:line="259" w:lineRule="auto"/>
        <w:ind w:left="0" w:firstLine="0"/>
        <w:jc w:val="left"/>
        <w:rPr>
          <w:rFonts w:eastAsia="Cambria"/>
          <w:b/>
          <w:color w:val="365F91"/>
        </w:rPr>
      </w:pPr>
      <w:r w:rsidRPr="00DD1865">
        <w:rPr>
          <w:rFonts w:eastAsia="Cambria"/>
          <w:b/>
          <w:color w:val="365F91"/>
        </w:rPr>
        <w:t>CONSIDERING:</w:t>
      </w:r>
    </w:p>
    <w:p w:rsidR="00DD1865" w:rsidRPr="00DD1865" w:rsidRDefault="00DD1865" w:rsidP="00DD1865">
      <w:pPr>
        <w:spacing w:after="163" w:line="259" w:lineRule="auto"/>
        <w:ind w:left="0" w:firstLine="0"/>
        <w:jc w:val="left"/>
        <w:rPr>
          <w:rFonts w:eastAsia="Cambria"/>
          <w:b/>
          <w:color w:val="365F91"/>
        </w:rPr>
      </w:pPr>
    </w:p>
    <w:p w:rsidR="00DC7200" w:rsidRPr="00DD1865" w:rsidRDefault="00DD1865" w:rsidP="00DD1865">
      <w:pPr>
        <w:spacing w:after="163" w:line="259" w:lineRule="auto"/>
        <w:ind w:left="0" w:firstLine="0"/>
        <w:jc w:val="left"/>
        <w:rPr>
          <w:sz w:val="12"/>
        </w:rPr>
      </w:pPr>
      <w:r w:rsidRPr="00DD1865">
        <w:rPr>
          <w:rFonts w:eastAsia="Cambria"/>
          <w:b/>
          <w:color w:val="365F91"/>
        </w:rPr>
        <w:t xml:space="preserve">The legal framework on learning in Colombia is composed of a series of laws, decrees and policies that establish the principles, rights and responsibilities related to education and learning. Below is a detailed summary of the main components of the legal framework that regulates learning: ### 1. **Political Constitution of Colombia** **Article 67** - **Description**: Establishes that education is a fundamental right and a public service with a social function. The State is responsible for regulating and monitoring education to ensure its quality and comply with its fines. This article underlines the importance of access to education, the comprehensive training of students, and the role of the State in guaranteeing these objectives. ### 2. **Law 115 of 1994 (General Education </w:t>
      </w:r>
      <w:proofErr w:type="gramStart"/>
      <w:r w:rsidRPr="00DD1865">
        <w:rPr>
          <w:rFonts w:eastAsia="Cambria"/>
          <w:b/>
          <w:color w:val="365F91"/>
        </w:rPr>
        <w:t>Law)*</w:t>
      </w:r>
      <w:proofErr w:type="gramEnd"/>
      <w:r w:rsidRPr="00DD1865">
        <w:rPr>
          <w:rFonts w:eastAsia="Cambria"/>
          <w:b/>
          <w:color w:val="365F91"/>
        </w:rPr>
        <w:t xml:space="preserve">* **Article 4°** - **Description**: Defines the responsibilities of the State, society, and the family in the quality of and access to education. Establishes that the Nation and territorial entities </w:t>
      </w:r>
      <w:r w:rsidRPr="00DD1865">
        <w:rPr>
          <w:rFonts w:eastAsia="Cambria"/>
          <w:b/>
          <w:color w:val="365F91"/>
        </w:rPr>
        <w:lastRenderedPageBreak/>
        <w:t>must guarantee educational coverage, the qualification of educators, and promote educational innovation and research. **Article 42** - **Description**: Regulates the creation and operation of non-formal education programs and establishments (now called education for work and human development), and the issuance of occupational aptitude certificates. Establishes that these areas are subject to the regulations of the National Government. ### 3. **Law 1064 of 2006** **Article 1°** - **Description**: Replaces the name of non-formal education with education for work and human development, and recognizes it as an integral part of the public education service. This law focuses on training in labor and technical skills. **Article 2°** - **Description**: Recognizes education for work and human development as an essential component of the educational process and the public education system. **Article 3°** - **Description**: Establishes that the quality certification of institutions and programs for education for work falls under the National Training System for Work, with requirements and procedures regulated by the National Government</w:t>
      </w:r>
      <w:proofErr w:type="gramStart"/>
      <w:r w:rsidRPr="00DD1865">
        <w:rPr>
          <w:rFonts w:eastAsia="Cambria"/>
          <w:b/>
          <w:color w:val="365F91"/>
        </w:rPr>
        <w:t>. .</w:t>
      </w:r>
      <w:proofErr w:type="gramEnd"/>
      <w:r w:rsidRPr="00DD1865">
        <w:rPr>
          <w:rFonts w:eastAsia="Cambria"/>
          <w:b/>
          <w:color w:val="365F91"/>
        </w:rPr>
        <w:t xml:space="preserve"> ### 4. **Decree 2020 of 2006** **Description**: Issues the Single Regulatory Decree of the Labor Sector. This decree organizes the Quality System for Training for Work, establishing the general framework to ensure quality in education for work and human development. ### 5. **Decree 4904 of 2009 and Decree 1075 of 2015** **Decree 4904 of 2009** - **Description**: Regulates the organization, offer, and operation of the educational service for work and human development. **Decree 1075 of 2015** - **Description**: Compiles and updates the provisions of Decree 4904 of 2009, establishing standards for the organization and operation of education for work and human development. Details the requirements for labor and academic training programs, and regulates face-to-face and distance programs. **Article 2.6.4.1** - **Description**: Define the requirements for the duration and content of academic and vocational training programs, specifying minimum hours of practical and academic training. *Article 2.6.4.5* - *Description*: Allows training </w:t>
      </w:r>
      <w:r w:rsidRPr="00DD1865">
        <w:rPr>
          <w:rFonts w:eastAsia="Cambria"/>
          <w:b/>
          <w:color w:val="365F91"/>
        </w:rPr>
        <w:lastRenderedPageBreak/>
        <w:t>programs to be offered in-person and distance learning, establishing specific requirements for each modality. 6. *National Ten-Year Education Plan 2016 - 2026* *Description*: Propose the construction of an articulated and participatory educational system, with an emphasis on innovation, research, and regional development. Seeks to improve access to and permanence in education and strengthen the various training modalities. 7. *National Development Plan 2018 - 2022* *Description*: Highlights virtuality as a key strategy for education and the development of human talent. Emphasizes the strengthening of education through the use of information and communication technologies. 8. *Decree 5012 of 2009* *Description*: Define functions of the Ministry of National Education to promote education for work and human development, ensuring quality and regulating the National Information System to support decision-making. *Key Aspects of the Legal Framework* 1. *Access and Quality*: The legal framework guarantees universal access to education and ensures the quality of educational programs. 2. *Key Aspects of the Legal Framework* 1. *Access and Quality*: The legal framework guarantees universal access to education and ensures the quality of educational programs.</w:t>
      </w:r>
      <w:r w:rsidRPr="00DD1865">
        <w:rPr>
          <w:rFonts w:eastAsia="Arial"/>
          <w:sz w:val="10"/>
        </w:rPr>
        <w:t xml:space="preserve"> </w:t>
      </w:r>
    </w:p>
    <w:p w:rsidR="00DC7200" w:rsidRPr="00DD1865" w:rsidRDefault="00DD1865">
      <w:pPr>
        <w:spacing w:after="0" w:line="259" w:lineRule="auto"/>
        <w:ind w:left="0" w:firstLine="0"/>
        <w:jc w:val="left"/>
        <w:rPr>
          <w:sz w:val="12"/>
        </w:rPr>
      </w:pPr>
      <w:r w:rsidRPr="00DD1865">
        <w:rPr>
          <w:rFonts w:eastAsia="Calibri"/>
          <w:color w:val="000000"/>
          <w:sz w:val="10"/>
        </w:rPr>
        <w:t xml:space="preserve"> </w:t>
      </w:r>
    </w:p>
    <w:sectPr w:rsidR="00DC7200" w:rsidRPr="00DD1865">
      <w:pgSz w:w="12240" w:h="15840"/>
      <w:pgMar w:top="1545" w:right="1699" w:bottom="164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dirty"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00"/>
    <w:rsid w:val="00DC7200"/>
    <w:rsid w:val="00DD18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B993"/>
  <w15:docId w15:val="{5A1BB036-4343-4590-88A8-C239F05F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58" w:lineRule="auto"/>
      <w:ind w:left="96" w:firstLine="552"/>
      <w:jc w:val="both"/>
    </w:pPr>
    <w:rPr>
      <w:rFonts w:ascii="Lucida Sans Unicode" w:eastAsia="Lucida Sans Unicode" w:hAnsi="Lucida Sans Unicode" w:cs="Lucida Sans Unicode"/>
      <w:color w:val="333333"/>
      <w:sz w:val="24"/>
    </w:rPr>
  </w:style>
  <w:style w:type="paragraph" w:styleId="Ttulo1">
    <w:name w:val="heading 1"/>
    <w:basedOn w:val="Normal"/>
    <w:next w:val="Normal"/>
    <w:link w:val="Ttulo1Car"/>
    <w:uiPriority w:val="9"/>
    <w:qFormat/>
    <w:rsid w:val="00DD1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8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cp:lastModifiedBy>ESTUDIANTE</cp:lastModifiedBy>
  <cp:revision>2</cp:revision>
  <cp:lastPrinted>2024-11-12T20:04:00Z</cp:lastPrinted>
  <dcterms:created xsi:type="dcterms:W3CDTF">2024-11-12T20:04:00Z</dcterms:created>
  <dcterms:modified xsi:type="dcterms:W3CDTF">2024-11-12T20:04:00Z</dcterms:modified>
</cp:coreProperties>
</file>