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kisuvz8jx4xc" w:id="0"/>
      <w:bookmarkEnd w:id="0"/>
      <w:hyperlink r:id="rId6">
        <w:r w:rsidDel="00000000" w:rsidR="00000000" w:rsidRPr="00000000">
          <w:rPr>
            <w:color w:val="1155cc"/>
            <w:u w:val="single"/>
            <w:rtl w:val="0"/>
          </w:rPr>
          <w:t xml:space="preserve">Design &amp; intégration WordPress — estimation et outils</w:t>
        </w:r>
      </w:hyperlink>
      <w:r w:rsidDel="00000000" w:rsidR="00000000" w:rsidRPr="00000000">
        <w:rPr>
          <w:rtl w:val="0"/>
        </w:rPr>
      </w:r>
    </w:p>
    <w:p w:rsidR="00000000" w:rsidDel="00000000" w:rsidP="00000000" w:rsidRDefault="00000000" w:rsidRPr="00000000" w14:paraId="00000002">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3">
      <w:pPr>
        <w:rPr>
          <w:i w:val="1"/>
          <w:iCs w:val="1"/>
        </w:rPr>
      </w:pPr>
      <w:r w:rsidDel="00000000" w:rsidR="00000000" w:rsidRPr="00000000">
        <w:rPr>
          <w:i w:val="1"/>
          <w:iCs w:val="1"/>
          <w:rtl w:val="0"/>
        </w:rPr>
        <w:t xml:space="preserve">Discussion sur les estimations de charge (500–700), la durée des sprints et le workflow d’intégration pour des sites vitrines. Choix d’outils favorisant la productivité (Breakdance, IA) et proposition d’un projet-test pour valider le process.</w:t>
      </w:r>
    </w:p>
    <w:p w:rsidR="00000000" w:rsidDel="00000000" w:rsidP="00000000" w:rsidRDefault="00000000" w:rsidRPr="00000000" w14:paraId="00000004">
      <w:pPr>
        <w:pStyle w:val="Heading2"/>
        <w:rPr/>
      </w:pPr>
      <w:bookmarkStart w:colFirst="0" w:colLast="0" w:name="_85pqhcygfh6s" w:id="1"/>
      <w:bookmarkEnd w:id="1"/>
      <w:r w:rsidDel="00000000" w:rsidR="00000000" w:rsidRPr="00000000">
        <w:rPr>
          <w:rtl w:val="0"/>
        </w:rPr>
        <w:t xml:space="preserve">Décisions</w:t>
      </w:r>
    </w:p>
    <w:p w:rsidR="00000000" w:rsidDel="00000000" w:rsidP="00000000" w:rsidRDefault="00000000" w:rsidRPr="00000000" w14:paraId="00000005">
      <w:pPr>
        <w:numPr>
          <w:ilvl w:val="0"/>
          <w:numId w:val="4"/>
        </w:numPr>
        <w:ind w:left="720" w:hanging="360"/>
        <w:rPr>
          <w:u w:val="none"/>
        </w:rPr>
      </w:pPr>
      <w:r w:rsidDel="00000000" w:rsidR="00000000" w:rsidRPr="00000000">
        <w:rPr>
          <w:rtl w:val="0"/>
        </w:rPr>
        <w:t xml:space="preserve">💭 proposed: Proposition de réaliser un projet-test pour valider le workflow et les estimations.</w:t>
      </w:r>
    </w:p>
    <w:p w:rsidR="00000000" w:rsidDel="00000000" w:rsidP="00000000" w:rsidRDefault="00000000" w:rsidRPr="00000000" w14:paraId="00000006">
      <w:pPr>
        <w:pStyle w:val="Heading2"/>
        <w:rPr/>
      </w:pPr>
      <w:bookmarkStart w:colFirst="0" w:colLast="0" w:name="_f2bhsshn8mvh" w:id="2"/>
      <w:bookmarkEnd w:id="2"/>
      <w:r w:rsidDel="00000000" w:rsidR="00000000" w:rsidRPr="00000000">
        <w:rPr>
          <w:rtl w:val="0"/>
        </w:rPr>
        <w:t xml:space="preserve">Estimations et cadence de livraison</w:t>
      </w:r>
    </w:p>
    <w:p w:rsidR="00000000" w:rsidDel="00000000" w:rsidP="00000000" w:rsidRDefault="00000000" w:rsidRPr="00000000" w14:paraId="00000007">
      <w:pPr>
        <w:rPr>
          <w:i w:val="1"/>
          <w:iCs w:val="1"/>
        </w:rPr>
      </w:pPr>
      <w:r w:rsidDel="00000000" w:rsidR="00000000" w:rsidRPr="00000000">
        <w:rPr>
          <w:i w:val="1"/>
          <w:iCs w:val="1"/>
          <w:rtl w:val="0"/>
        </w:rPr>
        <w:t xml:space="preserve">Discussion autour des chiffres 500–700 et de la durée des sprints pour organiser les livraisons.</w:t>
      </w:r>
    </w:p>
    <w:p w:rsidR="00000000" w:rsidDel="00000000" w:rsidP="00000000" w:rsidRDefault="00000000" w:rsidRPr="00000000" w14:paraId="00000008">
      <w:pPr>
        <w:rPr/>
      </w:pPr>
      <w:r w:rsidDel="00000000" w:rsidR="00000000" w:rsidRPr="00000000">
        <w:rPr>
          <w:rtl w:val="0"/>
        </w:rPr>
        <w:t xml:space="preserve">L’intervenant mentionne des valeurs « autour de 500 et 700 » (probablement points, tickets ou charge) et demande à clarifier la durée des sprints et le rythme de livraison de l’équipe. Il souhaite comprendre combien de temps prendra le dispatch des tâches depuis la prise en charge du cahier des charges jusqu’à la livraison.</w:t>
      </w:r>
    </w:p>
    <w:p w:rsidR="00000000" w:rsidDel="00000000" w:rsidP="00000000" w:rsidRDefault="00000000" w:rsidRPr="00000000" w14:paraId="00000009">
      <w:pPr>
        <w:numPr>
          <w:ilvl w:val="0"/>
          <w:numId w:val="1"/>
        </w:numPr>
        <w:ind w:left="720" w:hanging="360"/>
        <w:rPr>
          <w:u w:val="none"/>
        </w:rPr>
      </w:pPr>
      <w:r w:rsidDel="00000000" w:rsidR="00000000" w:rsidRPr="00000000">
        <w:rPr>
          <w:b w:val="1"/>
          <w:bCs w:val="1"/>
          <w:i w:val="1"/>
          <w:iCs w:val="1"/>
          <w:rtl w:val="0"/>
        </w:rPr>
        <w:t xml:space="preserve">💡 insight: Référence à une estimation chiffrée « 500–700 » </w:t>
      </w:r>
      <w:r w:rsidDel="00000000" w:rsidR="00000000" w:rsidRPr="00000000">
        <w:rPr>
          <w:rtl w:val="0"/>
        </w:rPr>
        <w:t xml:space="preserve">à clarifier.</w:t>
      </w:r>
    </w:p>
    <w:p w:rsidR="00000000" w:rsidDel="00000000" w:rsidP="00000000" w:rsidRDefault="00000000" w:rsidRPr="00000000" w14:paraId="0000000A">
      <w:pPr>
        <w:numPr>
          <w:ilvl w:val="0"/>
          <w:numId w:val="1"/>
        </w:numPr>
        <w:ind w:left="720" w:hanging="360"/>
        <w:rPr>
          <w:u w:val="none"/>
        </w:rPr>
      </w:pPr>
      <w:r w:rsidDel="00000000" w:rsidR="00000000" w:rsidRPr="00000000">
        <w:rPr>
          <w:b w:val="1"/>
          <w:bCs w:val="1"/>
          <w:i w:val="1"/>
          <w:iCs w:val="1"/>
          <w:rtl w:val="0"/>
        </w:rPr>
        <w:t xml:space="preserve">⚡️ action: Besoin de confirmer la durée du sprint et le rythme de livraison pour estimer </w:t>
      </w:r>
      <w:r w:rsidDel="00000000" w:rsidR="00000000" w:rsidRPr="00000000">
        <w:rPr>
          <w:rtl w:val="0"/>
        </w:rPr>
        <w:t xml:space="preserve">les délais.</w:t>
      </w:r>
    </w:p>
    <w:p w:rsidR="00000000" w:rsidDel="00000000" w:rsidP="00000000" w:rsidRDefault="00000000" w:rsidRPr="00000000" w14:paraId="0000000B">
      <w:pPr>
        <w:rPr/>
      </w:pPr>
      <w:r w:rsidDel="00000000" w:rsidR="00000000" w:rsidRPr="00000000">
        <w:rPr>
          <w:rtl w:val="0"/>
        </w:rPr>
        <w:t xml:space="preserve">[ ] Clarifier 500–700 </w:t>
      </w:r>
    </w:p>
    <w:p w:rsidR="00000000" w:rsidDel="00000000" w:rsidP="00000000" w:rsidRDefault="00000000" w:rsidRPr="00000000" w14:paraId="0000000C">
      <w:pPr>
        <w:rPr/>
      </w:pPr>
      <w:r w:rsidDel="00000000" w:rsidR="00000000" w:rsidRPr="00000000">
        <w:rPr>
          <w:rtl w:val="0"/>
        </w:rPr>
        <w:t xml:space="preserve">    Préciser si 500–700 correspond à des points, tickets, heures ou autre pour ajuster la planification.</w:t>
      </w:r>
    </w:p>
    <w:p w:rsidR="00000000" w:rsidDel="00000000" w:rsidP="00000000" w:rsidRDefault="00000000" w:rsidRPr="00000000" w14:paraId="0000000D">
      <w:pPr>
        <w:rPr/>
      </w:pPr>
      <w:r w:rsidDel="00000000" w:rsidR="00000000" w:rsidRPr="00000000">
        <w:rPr>
          <w:rtl w:val="0"/>
        </w:rPr>
        <w:t xml:space="preserve">------------------------------------------------</w:t>
      </w:r>
    </w:p>
    <w:p w:rsidR="00000000" w:rsidDel="00000000" w:rsidP="00000000" w:rsidRDefault="00000000" w:rsidRPr="00000000" w14:paraId="0000000E">
      <w:pPr>
        <w:pStyle w:val="Heading2"/>
        <w:rPr/>
      </w:pPr>
      <w:bookmarkStart w:colFirst="0" w:colLast="0" w:name="_8pqov65ao529" w:id="3"/>
      <w:bookmarkEnd w:id="3"/>
      <w:r w:rsidDel="00000000" w:rsidR="00000000" w:rsidRPr="00000000">
        <w:rPr>
          <w:rtl w:val="0"/>
        </w:rPr>
        <w:t xml:space="preserve">Workflow design-intégration et productivité</w:t>
      </w:r>
    </w:p>
    <w:p w:rsidR="00000000" w:rsidDel="00000000" w:rsidP="00000000" w:rsidRDefault="00000000" w:rsidRPr="00000000" w14:paraId="0000000F">
      <w:pPr>
        <w:rPr>
          <w:i w:val="1"/>
          <w:iCs w:val="1"/>
        </w:rPr>
      </w:pPr>
      <w:r w:rsidDel="00000000" w:rsidR="00000000" w:rsidRPr="00000000">
        <w:rPr>
          <w:i w:val="1"/>
          <w:iCs w:val="1"/>
          <w:rtl w:val="0"/>
        </w:rPr>
        <w:t xml:space="preserve">Méthode proposée pour simplifier l’intégration en préparant sitemaps et cahiers des charges et en utilisant des IA et éditeurs.</w:t>
      </w:r>
    </w:p>
    <w:p w:rsidR="00000000" w:rsidDel="00000000" w:rsidP="00000000" w:rsidRDefault="00000000" w:rsidRPr="00000000" w14:paraId="00000010">
      <w:pPr>
        <w:rPr/>
      </w:pPr>
      <w:r w:rsidDel="00000000" w:rsidR="00000000" w:rsidRPr="00000000">
        <w:rPr>
          <w:rtl w:val="0"/>
        </w:rPr>
        <w:t xml:space="preserve">L’intervenant décrit un process structuré : préparation des sitemaps et cahiers des charges, dispatch des tâches et usage d’outils IA pour accélérer la création. Il indique qu’il peut livrer un site complet en 2–3 semaines grâce à ces méthodes et outils d’édition assistée.</w:t>
      </w:r>
    </w:p>
    <w:p w:rsidR="00000000" w:rsidDel="00000000" w:rsidP="00000000" w:rsidRDefault="00000000" w:rsidRPr="00000000" w14:paraId="00000011">
      <w:pPr>
        <w:numPr>
          <w:ilvl w:val="0"/>
          <w:numId w:val="5"/>
        </w:numPr>
        <w:ind w:left="720" w:hanging="360"/>
        <w:rPr>
          <w:u w:val="none"/>
        </w:rPr>
      </w:pPr>
      <w:r w:rsidDel="00000000" w:rsidR="00000000" w:rsidRPr="00000000">
        <w:rPr>
          <w:b w:val="1"/>
          <w:bCs w:val="1"/>
          <w:i w:val="1"/>
          <w:iCs w:val="1"/>
          <w:rtl w:val="0"/>
        </w:rPr>
        <w:t xml:space="preserve">💡 insight: Préparation en amont (sitemaps, cahiers des charges) pour simplifier le travail d’</w:t>
      </w:r>
      <w:r w:rsidDel="00000000" w:rsidR="00000000" w:rsidRPr="00000000">
        <w:rPr>
          <w:rtl w:val="0"/>
        </w:rPr>
        <w:t xml:space="preserve">intégration.</w:t>
      </w:r>
    </w:p>
    <w:p w:rsidR="00000000" w:rsidDel="00000000" w:rsidP="00000000" w:rsidRDefault="00000000" w:rsidRPr="00000000" w14:paraId="00000012">
      <w:pPr>
        <w:numPr>
          <w:ilvl w:val="0"/>
          <w:numId w:val="5"/>
        </w:numPr>
        <w:ind w:left="720" w:hanging="360"/>
        <w:rPr>
          <w:u w:val="none"/>
        </w:rPr>
      </w:pPr>
      <w:r w:rsidDel="00000000" w:rsidR="00000000" w:rsidRPr="00000000">
        <w:rPr>
          <w:b w:val="1"/>
          <w:bCs w:val="1"/>
          <w:i w:val="1"/>
          <w:iCs w:val="1"/>
          <w:rtl w:val="0"/>
        </w:rPr>
        <w:t xml:space="preserve">💡 insight: Capacité annoncée : 2–3 semaines pour un site complet avec </w:t>
      </w:r>
      <w:r w:rsidDel="00000000" w:rsidR="00000000" w:rsidRPr="00000000">
        <w:rPr>
          <w:rtl w:val="0"/>
        </w:rPr>
        <w:t xml:space="preserve">l’aide d’IA.</w:t>
      </w:r>
    </w:p>
    <w:p w:rsidR="00000000" w:rsidDel="00000000" w:rsidP="00000000" w:rsidRDefault="00000000" w:rsidRPr="00000000" w14:paraId="00000013">
      <w:pPr>
        <w:rPr/>
      </w:pPr>
      <w:r w:rsidDel="00000000" w:rsidR="00000000" w:rsidRPr="00000000">
        <w:rPr>
          <w:rtl w:val="0"/>
        </w:rPr>
        <w:t xml:space="preserve">[ ] Plan projet-test </w:t>
      </w:r>
    </w:p>
    <w:p w:rsidR="00000000" w:rsidDel="00000000" w:rsidP="00000000" w:rsidRDefault="00000000" w:rsidRPr="00000000" w14:paraId="00000014">
      <w:pPr>
        <w:rPr/>
      </w:pPr>
      <w:r w:rsidDel="00000000" w:rsidR="00000000" w:rsidRPr="00000000">
        <w:rPr>
          <w:rtl w:val="0"/>
        </w:rPr>
        <w:t xml:space="preserve">    Définir un petit projet-test pour valider le workflow, les durées et le dispatch des tâches.</w:t>
      </w:r>
    </w:p>
    <w:p w:rsidR="00000000" w:rsidDel="00000000" w:rsidP="00000000" w:rsidRDefault="00000000" w:rsidRPr="00000000" w14:paraId="00000015">
      <w:pPr>
        <w:rPr/>
      </w:pPr>
      <w:r w:rsidDel="00000000" w:rsidR="00000000" w:rsidRPr="00000000">
        <w:rPr>
          <w:rtl w:val="0"/>
        </w:rPr>
        <w:t xml:space="preserve">------------------------------------------------</w:t>
      </w:r>
    </w:p>
    <w:p w:rsidR="00000000" w:rsidDel="00000000" w:rsidP="00000000" w:rsidRDefault="00000000" w:rsidRPr="00000000" w14:paraId="00000016">
      <w:pPr>
        <w:pStyle w:val="Heading2"/>
        <w:rPr/>
      </w:pPr>
      <w:bookmarkStart w:colFirst="0" w:colLast="0" w:name="_mxebr86bmqk9" w:id="4"/>
      <w:bookmarkEnd w:id="4"/>
      <w:r w:rsidDel="00000000" w:rsidR="00000000" w:rsidRPr="00000000">
        <w:rPr>
          <w:rtl w:val="0"/>
        </w:rPr>
        <w:t xml:space="preserve">Choix d’outils : Breakdance vs Elementor</w:t>
      </w:r>
    </w:p>
    <w:p w:rsidR="00000000" w:rsidDel="00000000" w:rsidP="00000000" w:rsidRDefault="00000000" w:rsidRPr="00000000" w14:paraId="00000017">
      <w:pPr>
        <w:rPr>
          <w:i w:val="1"/>
          <w:iCs w:val="1"/>
        </w:rPr>
      </w:pPr>
      <w:r w:rsidDel="00000000" w:rsidR="00000000" w:rsidRPr="00000000">
        <w:rPr>
          <w:i w:val="1"/>
          <w:iCs w:val="1"/>
          <w:rtl w:val="0"/>
        </w:rPr>
        <w:t xml:space="preserve">Préférence pour Breakdance comme builder principal pour ses performances et sa simplicité.</w:t>
      </w:r>
    </w:p>
    <w:p w:rsidR="00000000" w:rsidDel="00000000" w:rsidP="00000000" w:rsidRDefault="00000000" w:rsidRPr="00000000" w14:paraId="00000018">
      <w:pPr>
        <w:rPr/>
      </w:pPr>
      <w:r w:rsidDel="00000000" w:rsidR="00000000" w:rsidRPr="00000000">
        <w:rPr>
          <w:rtl w:val="0"/>
        </w:rPr>
        <w:t xml:space="preserve">L’intervenant privilégie Breakdance (WYSIWYG) pour sa rapidité, sa légèreté et parce qu’il évite d’ajouter de nombreuses extensions pour les animations. Il mentionne aussi Elementor et Gutenberg mais indique que Breakdance désactive les thèmes et crée un site propre.</w:t>
      </w:r>
    </w:p>
    <w:p w:rsidR="00000000" w:rsidDel="00000000" w:rsidP="00000000" w:rsidRDefault="00000000" w:rsidRPr="00000000" w14:paraId="00000019">
      <w:pPr>
        <w:numPr>
          <w:ilvl w:val="0"/>
          <w:numId w:val="2"/>
        </w:numPr>
        <w:ind w:left="720" w:hanging="360"/>
        <w:rPr>
          <w:u w:val="none"/>
        </w:rPr>
      </w:pPr>
      <w:r w:rsidDel="00000000" w:rsidR="00000000" w:rsidRPr="00000000">
        <w:rPr>
          <w:b w:val="1"/>
          <w:bCs w:val="1"/>
          <w:i w:val="1"/>
          <w:iCs w:val="1"/>
          <w:rtl w:val="0"/>
        </w:rPr>
        <w:t xml:space="preserve">💡 insight: Breakdance choisi pour performance et simplicité (99$/an po</w:t>
      </w:r>
      <w:r w:rsidDel="00000000" w:rsidR="00000000" w:rsidRPr="00000000">
        <w:rPr>
          <w:rtl w:val="0"/>
        </w:rPr>
        <w:t xml:space="preserve">ur agences).</w:t>
      </w:r>
    </w:p>
    <w:p w:rsidR="00000000" w:rsidDel="00000000" w:rsidP="00000000" w:rsidRDefault="00000000" w:rsidRPr="00000000" w14:paraId="0000001A">
      <w:pPr>
        <w:numPr>
          <w:ilvl w:val="0"/>
          <w:numId w:val="2"/>
        </w:numPr>
        <w:ind w:left="720" w:hanging="360"/>
        <w:rPr>
          <w:u w:val="none"/>
        </w:rPr>
      </w:pPr>
      <w:r w:rsidDel="00000000" w:rsidR="00000000" w:rsidRPr="00000000">
        <w:rPr>
          <w:b w:val="1"/>
          <w:bCs w:val="1"/>
          <w:i w:val="1"/>
          <w:iCs w:val="1"/>
          <w:rtl w:val="0"/>
        </w:rPr>
        <w:t xml:space="preserve">📍 unknown: Éviter l’usage intensif d’Elementor et d’extensions add</w:t>
      </w:r>
      <w:r w:rsidDel="00000000" w:rsidR="00000000" w:rsidRPr="00000000">
        <w:rPr>
          <w:rtl w:val="0"/>
        </w:rPr>
        <w:t xml:space="preserve">itionnelles.</w:t>
      </w:r>
    </w:p>
    <w:p w:rsidR="00000000" w:rsidDel="00000000" w:rsidP="00000000" w:rsidRDefault="00000000" w:rsidRPr="00000000" w14:paraId="0000001B">
      <w:pPr>
        <w:rPr/>
      </w:pPr>
      <w:r w:rsidDel="00000000" w:rsidR="00000000" w:rsidRPr="00000000">
        <w:rPr>
          <w:rtl w:val="0"/>
        </w:rPr>
        <w:t xml:space="preserve">------------------------------------------------</w:t>
      </w:r>
    </w:p>
    <w:p w:rsidR="00000000" w:rsidDel="00000000" w:rsidP="00000000" w:rsidRDefault="00000000" w:rsidRPr="00000000" w14:paraId="0000001C">
      <w:pPr>
        <w:pStyle w:val="Heading2"/>
        <w:rPr/>
      </w:pPr>
      <w:bookmarkStart w:colFirst="0" w:colLast="0" w:name="_r33bqucn7exq" w:id="5"/>
      <w:bookmarkEnd w:id="5"/>
      <w:r w:rsidDel="00000000" w:rsidR="00000000" w:rsidRPr="00000000">
        <w:rPr>
          <w:rtl w:val="0"/>
        </w:rPr>
        <w:t xml:space="preserve">Périmètre du site vitrine</w:t>
      </w:r>
    </w:p>
    <w:p w:rsidR="00000000" w:rsidDel="00000000" w:rsidP="00000000" w:rsidRDefault="00000000" w:rsidRPr="00000000" w14:paraId="0000001D">
      <w:pPr>
        <w:rPr>
          <w:i w:val="1"/>
          <w:iCs w:val="1"/>
        </w:rPr>
      </w:pPr>
      <w:r w:rsidDel="00000000" w:rsidR="00000000" w:rsidRPr="00000000">
        <w:rPr>
          <w:i w:val="1"/>
          <w:iCs w:val="1"/>
          <w:rtl w:val="0"/>
        </w:rPr>
        <w:t xml:space="preserve">Définition du nombre et type de pages attendu pour les sites vitrines.</w:t>
      </w:r>
    </w:p>
    <w:p w:rsidR="00000000" w:rsidDel="00000000" w:rsidP="00000000" w:rsidRDefault="00000000" w:rsidRPr="00000000" w14:paraId="0000001E">
      <w:pPr>
        <w:rPr/>
      </w:pPr>
      <w:r w:rsidDel="00000000" w:rsidR="00000000" w:rsidRPr="00000000">
        <w:rPr>
          <w:rtl w:val="0"/>
        </w:rPr>
        <w:t xml:space="preserve">Les sites vitrines sont décrits comme contenant jusqu’à 47 pages au maximum, typiquement 7 pages détaillant les services et 4 pages principales (à propos, vision/valeurs, contact, etc.).</w:t>
      </w:r>
    </w:p>
    <w:p w:rsidR="00000000" w:rsidDel="00000000" w:rsidP="00000000" w:rsidRDefault="00000000" w:rsidRPr="00000000" w14:paraId="0000001F">
      <w:pPr>
        <w:numPr>
          <w:ilvl w:val="0"/>
          <w:numId w:val="3"/>
        </w:numPr>
        <w:ind w:left="720" w:hanging="360"/>
        <w:rPr>
          <w:u w:val="none"/>
        </w:rPr>
      </w:pPr>
      <w:r w:rsidDel="00000000" w:rsidR="00000000" w:rsidRPr="00000000">
        <w:rPr>
          <w:b w:val="1"/>
          <w:bCs w:val="1"/>
          <w:i w:val="1"/>
          <w:iCs w:val="1"/>
          <w:rtl w:val="0"/>
        </w:rPr>
        <w:t xml:space="preserve">💡 insight: Périmètre : jusqu’à 47 pages, généralement 7 pages services et 4</w:t>
      </w:r>
      <w:r w:rsidDel="00000000" w:rsidR="00000000" w:rsidRPr="00000000">
        <w:rPr>
          <w:rtl w:val="0"/>
        </w:rPr>
        <w:t xml:space="preserve"> pages clés.</w:t>
      </w:r>
    </w:p>
    <w:p w:rsidR="00000000" w:rsidDel="00000000" w:rsidP="00000000" w:rsidRDefault="00000000" w:rsidRPr="00000000" w14:paraId="00000020">
      <w:pPr>
        <w:rPr/>
      </w:pPr>
      <w:r w:rsidDel="00000000" w:rsidR="00000000" w:rsidRPr="00000000">
        <w:rPr>
          <w:rtl w:val="0"/>
        </w:rPr>
        <w:t xml:space="preserve">------------------------------------------------</w:t>
      </w:r>
    </w:p>
    <w:p w:rsidR="00000000" w:rsidDel="00000000" w:rsidP="00000000" w:rsidRDefault="00000000" w:rsidRPr="00000000" w14:paraId="00000021">
      <w:pPr>
        <w:rPr/>
      </w:pPr>
      <w:r w:rsidDel="00000000" w:rsidR="00000000" w:rsidRPr="00000000">
        <w:rPr>
          <w:rtl w:val="0"/>
        </w:rPr>
        <w:t xml:space="preserve">[ ] Valider builder et licences </w:t>
      </w:r>
    </w:p>
    <w:p w:rsidR="00000000" w:rsidDel="00000000" w:rsidP="00000000" w:rsidRDefault="00000000" w:rsidRPr="00000000" w14:paraId="00000022">
      <w:pPr>
        <w:rPr/>
      </w:pPr>
      <w:r w:rsidDel="00000000" w:rsidR="00000000" w:rsidRPr="00000000">
        <w:rPr>
          <w:rtl w:val="0"/>
        </w:rPr>
        <w:t xml:space="preserve">    Confirmer l’usage de Breakdance et l’achat de l’abonnement pro (99$/an) si nécessaire pour les comptes agences.</w:t>
      </w:r>
    </w:p>
    <w:p w:rsidR="00000000" w:rsidDel="00000000" w:rsidP="00000000" w:rsidRDefault="00000000" w:rsidRPr="00000000" w14:paraId="0000002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Unicode MS"/>
  <w:font w:name="Montserrat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anrope SemiBold">
    <w:embedRegular w:fontKey="{00000000-0000-0000-0000-000000000000}" r:id="rId5" w:subsetted="0"/>
    <w:embedBold w:fontKey="{00000000-0000-0000-0000-000000000000}" r:id="rId6" w:subsetted="0"/>
  </w:font>
  <w:font w:name="Dela Gothic One">
    <w:embedRegular w:fontKey="{00000000-0000-0000-0000-000000000000}" r:id="rId7" w:subsetted="0"/>
  </w:font>
  <w:font w:name="Helvetica Neue">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w:cs="Helvetica Neue" w:eastAsia="Helvetica Neue" w:hAnsi="Helvetica Neue"/>
        <w:sz w:val="24"/>
        <w:szCs w:val="24"/>
        <w:lang w:val="fr"/>
      </w:rPr>
    </w:rPrDefault>
    <w:pPrDefault>
      <w:pPr>
        <w:spacing w:line="28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288" w:lineRule="auto"/>
    </w:pPr>
    <w:rPr>
      <w:rFonts w:ascii="Dela Gothic One" w:cs="Dela Gothic One" w:eastAsia="Dela Gothic One" w:hAnsi="Dela Gothic One"/>
      <w:sz w:val="60"/>
      <w:szCs w:val="60"/>
    </w:rPr>
  </w:style>
  <w:style w:type="paragraph" w:styleId="Heading2">
    <w:name w:val="heading 2"/>
    <w:basedOn w:val="Normal"/>
    <w:next w:val="Normal"/>
    <w:pPr>
      <w:keepNext w:val="1"/>
      <w:keepLines w:val="1"/>
    </w:pPr>
    <w:rPr>
      <w:rFonts w:ascii="Helvetica Neue" w:cs="Helvetica Neue" w:eastAsia="Helvetica Neue" w:hAnsi="Helvetica Neue"/>
      <w:b w:val="1"/>
      <w:bCs w:val="1"/>
      <w:sz w:val="32"/>
      <w:szCs w:val="32"/>
    </w:rPr>
  </w:style>
  <w:style w:type="paragraph" w:styleId="Heading3">
    <w:name w:val="heading 3"/>
    <w:basedOn w:val="Normal"/>
    <w:next w:val="Normal"/>
    <w:pPr>
      <w:keepNext w:val="1"/>
      <w:keepLines w:val="1"/>
      <w:spacing w:after="80" w:before="280" w:line="288" w:lineRule="auto"/>
    </w:pPr>
    <w:rPr>
      <w:rFonts w:ascii="Manrope SemiBold" w:cs="Manrope SemiBold" w:eastAsia="Manrope SemiBold" w:hAnsi="Manrope SemiBold"/>
      <w:sz w:val="28"/>
      <w:szCs w:val="28"/>
    </w:rPr>
  </w:style>
  <w:style w:type="paragraph" w:styleId="Heading4">
    <w:name w:val="heading 4"/>
    <w:basedOn w:val="Normal"/>
    <w:next w:val="Normal"/>
    <w:pPr>
      <w:keepNext w:val="1"/>
      <w:keepLines w:val="1"/>
      <w:spacing w:line="288" w:lineRule="auto"/>
    </w:pPr>
    <w:rPr>
      <w:rFonts w:ascii="Montserrat SemiBold" w:cs="Montserrat SemiBold" w:eastAsia="Montserrat SemiBold" w:hAnsi="Montserrat SemiBold"/>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Pr>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file/d/1qW3J_mS0P4_2PsdTQdhBxCk6d_kyeKpT/view?usp=drivesd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SemiBold-regular.ttf"/><Relationship Id="rId2" Type="http://schemas.openxmlformats.org/officeDocument/2006/relationships/font" Target="fonts/MontserratSemiBold-bold.ttf"/><Relationship Id="rId3" Type="http://schemas.openxmlformats.org/officeDocument/2006/relationships/font" Target="fonts/MontserratSemiBold-italic.ttf"/><Relationship Id="rId4" Type="http://schemas.openxmlformats.org/officeDocument/2006/relationships/font" Target="fonts/MontserratSemiBold-boldItalic.ttf"/><Relationship Id="rId11" Type="http://schemas.openxmlformats.org/officeDocument/2006/relationships/font" Target="fonts/HelveticaNeue-boldItalic.ttf"/><Relationship Id="rId10" Type="http://schemas.openxmlformats.org/officeDocument/2006/relationships/font" Target="fonts/HelveticaNeue-italic.ttf"/><Relationship Id="rId9" Type="http://schemas.openxmlformats.org/officeDocument/2006/relationships/font" Target="fonts/HelveticaNeue-bold.ttf"/><Relationship Id="rId5" Type="http://schemas.openxmlformats.org/officeDocument/2006/relationships/font" Target="fonts/ManropeSemiBold-regular.ttf"/><Relationship Id="rId6" Type="http://schemas.openxmlformats.org/officeDocument/2006/relationships/font" Target="fonts/ManropeSemiBold-bold.ttf"/><Relationship Id="rId7" Type="http://schemas.openxmlformats.org/officeDocument/2006/relationships/font" Target="fonts/DelaGothicOne-regular.ttf"/><Relationship Id="rId8" Type="http://schemas.openxmlformats.org/officeDocument/2006/relationships/font" Target="fonts/HelveticaNeue-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