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n6htyyrwwkt" w:id="0"/>
      <w:bookmarkEnd w:id="0"/>
      <w:hyperlink r:id="rId6">
        <w:r w:rsidDel="00000000" w:rsidR="00000000" w:rsidRPr="00000000">
          <w:rPr>
            <w:color w:val="1155cc"/>
            <w:u w:val="single"/>
            <w:rtl w:val="0"/>
          </w:rPr>
          <w:t xml:space="preserve">Haisoa x FATAPLUS</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15 key points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La réunion a porté sur les activités numériques et agricoles, les formations, les technologies utilisées (notamment sans code), et le développement d'applications digitales pour soutenir les agriculteurs, coopératives et entrepreneurs. Les interlocuteurs ont aussi abordé la création d'associations, l'importance de la collaboration entre acteurs, et la mise en œuvre des projets pour améliorer l'efficacité des services dans le domaine agricole et entrepreneurial.</w:t>
      </w:r>
    </w:p>
    <w:p w:rsidR="00000000" w:rsidDel="00000000" w:rsidP="00000000" w:rsidRDefault="00000000" w:rsidRPr="00000000" w14:paraId="00000005">
      <w:pPr>
        <w:pStyle w:val="Heading3"/>
        <w:rPr/>
      </w:pPr>
      <w:bookmarkStart w:colFirst="0" w:colLast="0" w:name="_n1v7yz6p4clv" w:id="1"/>
      <w:bookmarkEnd w:id="1"/>
      <w:r w:rsidDel="00000000" w:rsidR="00000000" w:rsidRPr="00000000">
        <w:rPr>
          <w:rtl w:val="0"/>
        </w:rPr>
        <w:t xml:space="preserve">1. Activités numériques et agricoles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les activités digitales en soutien à l'agriculture, les études réalisées et les services proposés aux agriculteurs et pépiniéristes.</w:t>
      </w:r>
    </w:p>
    <w:p w:rsidR="00000000" w:rsidDel="00000000" w:rsidP="00000000" w:rsidRDefault="00000000" w:rsidRPr="00000000" w14:paraId="00000009">
      <w:pPr>
        <w:pStyle w:val="Heading4"/>
        <w:rPr/>
      </w:pPr>
      <w:bookmarkStart w:colFirst="0" w:colLast="0" w:name="_gjdlsgdv3o80" w:id="2"/>
      <w:bookmarkEnd w:id="2"/>
      <w:r w:rsidDel="00000000" w:rsidR="00000000" w:rsidRPr="00000000">
        <w:rPr>
          <w:rtl w:val="0"/>
        </w:rPr>
        <w:t xml:space="preserve">Key Points</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Activités numériques et agricoles</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Études et missions agricoles</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Développement de services numériques</w:t>
      </w:r>
    </w:p>
    <w:p w:rsidR="00000000" w:rsidDel="00000000" w:rsidP="00000000" w:rsidRDefault="00000000" w:rsidRPr="00000000" w14:paraId="0000000D">
      <w:pPr>
        <w:pStyle w:val="Heading3"/>
        <w:rPr/>
      </w:pPr>
      <w:bookmarkStart w:colFirst="0" w:colLast="0" w:name="_l0ymrmbxhiqu" w:id="3"/>
      <w:bookmarkEnd w:id="3"/>
      <w:r w:rsidDel="00000000" w:rsidR="00000000" w:rsidRPr="00000000">
        <w:rPr>
          <w:rtl w:val="0"/>
        </w:rPr>
        <w:t xml:space="preserve">2. Formations et développement des compétences</w:t>
      </w:r>
    </w:p>
    <w:p w:rsidR="00000000" w:rsidDel="00000000" w:rsidP="00000000" w:rsidRDefault="00000000" w:rsidRPr="00000000" w14:paraId="0000000E">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Importance des formations pour enfants, jeunes, coopératives et entrepreneurs pour renforcer les compétences techniques et digitales.</w:t>
      </w:r>
    </w:p>
    <w:p w:rsidR="00000000" w:rsidDel="00000000" w:rsidP="00000000" w:rsidRDefault="00000000" w:rsidRPr="00000000" w14:paraId="00000011">
      <w:pPr>
        <w:pStyle w:val="Heading4"/>
        <w:rPr/>
      </w:pPr>
      <w:bookmarkStart w:colFirst="0" w:colLast="0" w:name="_43nz9hnr92dq" w:id="4"/>
      <w:bookmarkEnd w:id="4"/>
      <w:r w:rsidDel="00000000" w:rsidR="00000000" w:rsidRPr="00000000">
        <w:rPr>
          <w:rtl w:val="0"/>
        </w:rPr>
        <w:t xml:space="preserve">Key Points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Formations pour divers publics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Utilisation de la technologie sans code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Renforcement des compétences digitales</w:t>
      </w:r>
    </w:p>
    <w:p w:rsidR="00000000" w:rsidDel="00000000" w:rsidP="00000000" w:rsidRDefault="00000000" w:rsidRPr="00000000" w14:paraId="00000015">
      <w:pPr>
        <w:pStyle w:val="Heading3"/>
        <w:rPr/>
      </w:pPr>
      <w:bookmarkStart w:colFirst="0" w:colLast="0" w:name="_ypoikv9r26do" w:id="5"/>
      <w:bookmarkEnd w:id="5"/>
      <w:r w:rsidDel="00000000" w:rsidR="00000000" w:rsidRPr="00000000">
        <w:rPr>
          <w:rtl w:val="0"/>
        </w:rPr>
        <w:t xml:space="preserve">3. Technologies et solutions sans code</w:t>
      </w:r>
    </w:p>
    <w:p w:rsidR="00000000" w:rsidDel="00000000" w:rsidP="00000000" w:rsidRDefault="00000000" w:rsidRPr="00000000" w14:paraId="0000001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i w:val="1"/>
          <w:iCs w:val="1"/>
          <w:rtl w:val="0"/>
        </w:rPr>
        <w:t xml:space="preserve">Choix de solutions technologiques adaptées pour faciliter le développement rapide et accessible des applications digitales.</w:t>
      </w:r>
    </w:p>
    <w:p w:rsidR="00000000" w:rsidDel="00000000" w:rsidP="00000000" w:rsidRDefault="00000000" w:rsidRPr="00000000" w14:paraId="00000019">
      <w:pPr>
        <w:pStyle w:val="Heading4"/>
        <w:rPr/>
      </w:pPr>
      <w:bookmarkStart w:colFirst="0" w:colLast="0" w:name="_q4scm1q30zbd" w:id="6"/>
      <w:bookmarkEnd w:id="6"/>
      <w:r w:rsidDel="00000000" w:rsidR="00000000" w:rsidRPr="00000000">
        <w:rPr>
          <w:rtl w:val="0"/>
        </w:rPr>
        <w:t xml:space="preserve">Key Points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Adoption des solutions sans code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Développement rapide des applications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Différences techniques selon les environnements</w:t>
      </w:r>
    </w:p>
    <w:p w:rsidR="00000000" w:rsidDel="00000000" w:rsidP="00000000" w:rsidRDefault="00000000" w:rsidRPr="00000000" w14:paraId="0000001D">
      <w:pPr>
        <w:pStyle w:val="Heading3"/>
        <w:rPr/>
      </w:pPr>
      <w:bookmarkStart w:colFirst="0" w:colLast="0" w:name="_jrsn3zo7y81q" w:id="7"/>
      <w:bookmarkEnd w:id="7"/>
      <w:r w:rsidDel="00000000" w:rsidR="00000000" w:rsidRPr="00000000">
        <w:rPr>
          <w:rtl w:val="0"/>
        </w:rPr>
        <w:t xml:space="preserve">4. Collaboration et partenariats</w:t>
      </w:r>
    </w:p>
    <w:p w:rsidR="00000000" w:rsidDel="00000000" w:rsidP="00000000" w:rsidRDefault="00000000" w:rsidRPr="00000000" w14:paraId="0000001E">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Mise en place de collaborations entre différents acteurs, institutions, banques, microfinances et mutuelles pour garantir le financement et le support des projets.</w:t>
      </w:r>
    </w:p>
    <w:p w:rsidR="00000000" w:rsidDel="00000000" w:rsidP="00000000" w:rsidRDefault="00000000" w:rsidRPr="00000000" w14:paraId="00000021">
      <w:pPr>
        <w:pStyle w:val="Heading4"/>
        <w:rPr/>
      </w:pPr>
      <w:bookmarkStart w:colFirst="0" w:colLast="0" w:name="_u7o3vy190he6" w:id="8"/>
      <w:bookmarkEnd w:id="8"/>
      <w:r w:rsidDel="00000000" w:rsidR="00000000" w:rsidRPr="00000000">
        <w:rPr>
          <w:rtl w:val="0"/>
        </w:rPr>
        <w:t xml:space="preserve">Key Points</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Partenariats institutionnels</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Soutien financier</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Création d'associations</w:t>
      </w:r>
    </w:p>
    <w:p w:rsidR="00000000" w:rsidDel="00000000" w:rsidP="00000000" w:rsidRDefault="00000000" w:rsidRPr="00000000" w14:paraId="00000025">
      <w:pPr>
        <w:pStyle w:val="Heading3"/>
        <w:rPr/>
      </w:pPr>
      <w:bookmarkStart w:colFirst="0" w:colLast="0" w:name="_4xax2cfjyurh" w:id="9"/>
      <w:bookmarkEnd w:id="9"/>
      <w:r w:rsidDel="00000000" w:rsidR="00000000" w:rsidRPr="00000000">
        <w:rPr>
          <w:rtl w:val="0"/>
        </w:rPr>
        <w:t xml:space="preserve">5. Défis et perspectives</w:t>
      </w:r>
    </w:p>
    <w:p w:rsidR="00000000" w:rsidDel="00000000" w:rsidP="00000000" w:rsidRDefault="00000000" w:rsidRPr="00000000" w14:paraId="0000002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Reconnaissance des difficultés rencontrées et engagement à continuer les efforts pour améliorer les technologies et formations en agriculture numérique.</w:t>
      </w:r>
    </w:p>
    <w:p w:rsidR="00000000" w:rsidDel="00000000" w:rsidP="00000000" w:rsidRDefault="00000000" w:rsidRPr="00000000" w14:paraId="00000029">
      <w:pPr>
        <w:pStyle w:val="Heading4"/>
        <w:rPr/>
      </w:pPr>
      <w:bookmarkStart w:colFirst="0" w:colLast="0" w:name="_imi86923sorp" w:id="10"/>
      <w:bookmarkEnd w:id="10"/>
      <w:r w:rsidDel="00000000" w:rsidR="00000000" w:rsidRPr="00000000">
        <w:rPr>
          <w:rtl w:val="0"/>
        </w:rPr>
        <w:t xml:space="preserve">Key Points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Reconnaissance des difficultés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Engagement pour le progrès</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Adaptation continue</w:t>
      </w:r>
    </w:p>
    <w:p w:rsidR="00000000" w:rsidDel="00000000" w:rsidP="00000000" w:rsidRDefault="00000000" w:rsidRPr="00000000" w14:paraId="0000002D">
      <w:pPr>
        <w:pStyle w:val="Heading3"/>
        <w:rPr/>
      </w:pPr>
      <w:bookmarkStart w:colFirst="0" w:colLast="0" w:name="_3e9p7lkxehol" w:id="11"/>
      <w:bookmarkEnd w:id="11"/>
      <w:r w:rsidDel="00000000" w:rsidR="00000000" w:rsidRPr="00000000">
        <w:rPr>
          <w:rtl w:val="0"/>
        </w:rPr>
        <w:t xml:space="preserve">Other Tasks</w:t>
      </w:r>
    </w:p>
    <w:p w:rsidR="00000000" w:rsidDel="00000000" w:rsidP="00000000" w:rsidRDefault="00000000" w:rsidRPr="00000000" w14:paraId="0000002E">
      <w:pPr>
        <w:numPr>
          <w:ilvl w:val="0"/>
          <w:numId w:val="4"/>
        </w:numPr>
        <w:ind w:left="720" w:hanging="360"/>
        <w:rPr>
          <w:u w:val="none"/>
        </w:rPr>
      </w:pPr>
      <w:hyperlink r:id="rId7">
        <w:r w:rsidDel="00000000" w:rsidR="00000000" w:rsidRPr="00000000">
          <w:rPr>
            <w:color w:val="1155cc"/>
            <w:u w:val="single"/>
            <w:rtl w:val="0"/>
          </w:rPr>
          <w:t xml:space="preserve">Mettre en place un système de suivi des applications digitales développées pour les agriculteurs afin d'évaluer leur impact et leur efficacité.</w:t>
        </w:r>
      </w:hyperlink>
      <w:r w:rsidDel="00000000" w:rsidR="00000000" w:rsidRPr="00000000">
        <w:rPr>
          <w:rtl w:val="0"/>
        </w:rPr>
      </w:r>
    </w:p>
    <w:p w:rsidR="00000000" w:rsidDel="00000000" w:rsidP="00000000" w:rsidRDefault="00000000" w:rsidRPr="00000000" w14:paraId="0000002F">
      <w:pPr>
        <w:numPr>
          <w:ilvl w:val="0"/>
          <w:numId w:val="4"/>
        </w:numPr>
        <w:ind w:left="720" w:hanging="360"/>
        <w:rPr>
          <w:u w:val="none"/>
        </w:rPr>
      </w:pPr>
      <w:hyperlink r:id="rId8">
        <w:r w:rsidDel="00000000" w:rsidR="00000000" w:rsidRPr="00000000">
          <w:rPr>
            <w:color w:val="1155cc"/>
            <w:u w:val="single"/>
            <w:rtl w:val="0"/>
          </w:rPr>
          <w:t xml:space="preserve">Organiser des sessions de formation complémentaires ciblant les coopératives et entrepreneurs pour renforcer leurs compétences numériques et leur employabilité dans le secteur agricole.</w:t>
        </w:r>
      </w:hyperlink>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hyperlink r:id="rId9">
        <w:r w:rsidDel="00000000" w:rsidR="00000000" w:rsidRPr="00000000">
          <w:rPr>
            <w:color w:val="1155cc"/>
            <w:u w:val="single"/>
            <w:rtl w:val="0"/>
          </w:rPr>
          <w:t xml:space="preserve">Documenter les processus de collaboration avec les banques, microfinances et mutuelles afin de faciliter les démarches de financement des projets agricoles numériques.</w:t>
        </w:r>
      </w:hyperlink>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hyperlink r:id="rId10">
        <w:r w:rsidDel="00000000" w:rsidR="00000000" w:rsidRPr="00000000">
          <w:rPr>
            <w:color w:val="1155cc"/>
            <w:u w:val="single"/>
            <w:rtl w:val="0"/>
          </w:rPr>
          <w:t xml:space="preserve">Évaluer les solutions sans code utilisées et identifier les améliorations possibles pour réduire les temps d'apprentissage et optimiser le déploiement des applications.</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inear.new?title=%C3%89valuer+les+solutions+sans+code+utilis%C3%A9es+et+identifier+les+am%C3%A9liorations+possibles+pour+r%C3%A9duire+les+temps+d%27apprentissage+et+optimiser+le+d%C3%A9ploiement+des+applications.&amp;description=L%27adoption+des+solutions+sans+code+facilite+le+d%C3%A9veloppement+mais+n%C3%A9cessite+une+%C3%A9valuation+continue+pour+en+maximiser+l%27efficacit%C3%A9+et+l%27adoption+par+les+utilisateurs." TargetMode="External"/><Relationship Id="rId9" Type="http://schemas.openxmlformats.org/officeDocument/2006/relationships/hyperlink" Target="https://linear.new?title=Documenter+les+processus+de+collaboration+avec+les+banques%2C+microfinances+et+mutuelles+afin+de+faciliter+les+d%C3%A9marches+de+financement+des+projets+agricoles+num%C3%A9riques.&amp;description=Pour+garantir+un+financement+ad%C3%A9quat+des+projets%2C+une+documentation+claire+des+partenariats+et+proc%C3%A9dures+financi%C3%A8res+est+n%C3%A9cessaire." TargetMode="External"/><Relationship Id="rId5" Type="http://schemas.openxmlformats.org/officeDocument/2006/relationships/styles" Target="styles.xml"/><Relationship Id="rId6" Type="http://schemas.openxmlformats.org/officeDocument/2006/relationships/hyperlink" Target="https://drive.google.com/file/d/1tfHN2B2ejbMcIkWnmUzZqhe_bQS08yWP/view?usp=drivesdk" TargetMode="External"/><Relationship Id="rId7" Type="http://schemas.openxmlformats.org/officeDocument/2006/relationships/hyperlink" Target="https://linear.new?title=Mettre+en+place+un+syst%C3%A8me+de+suivi+des+applications+digitales+d%C3%A9velopp%C3%A9es+pour+les+agriculteurs+afin+d%27%C3%A9valuer+leur+impact+et+leur+efficacit%C3%A9.&amp;description=Suite+aux+discussions+sur+les+activit%C3%A9s+num%C3%A9riques+et+les+applications+pour+les+agriculteurs%2C+il+est+n%C3%A9cessaire+de+suivre+et+d%27am%C3%A9liorer+ces+outils+pour+garantir+leur+pertinence+et+utilit%C3%A9." TargetMode="External"/><Relationship Id="rId8" Type="http://schemas.openxmlformats.org/officeDocument/2006/relationships/hyperlink" Target="https://linear.new?title=Organiser+des+sessions+de+formation+compl%C3%A9mentaires+ciblant+les+coop%C3%A9ratives+et+entrepreneurs+pour+renforcer+leurs+comp%C3%A9tences+num%C3%A9riques+et+leur+employabilit%C3%A9+dans+le+secteur+agricole.&amp;description=Les+formations+sont+cl%C3%A9s+pour+le+d%C3%A9veloppement+des+comp%C3%A9tences+%C3%A9voqu%C3%A9es+dans+la+r%C3%A9union%2C+notamment+pour+les+coop%C3%A9ratives+et+entrepreneurs+des+zones+rura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